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6C098DD" w:rsidR="00C63999" w:rsidRPr="0095031D" w:rsidRDefault="004D3125" w:rsidP="00D650C6">
      <w:pPr>
        <w:pStyle w:val="Title"/>
      </w:pPr>
      <w:bookmarkStart w:id="0" w:name="_GoBack"/>
      <w:bookmarkEnd w:id="0"/>
      <w:r w:rsidRPr="0095031D">
        <w:t>T1 DQ 1</w:t>
      </w:r>
    </w:p>
    <w:p w14:paraId="40545637" w14:textId="097DD761" w:rsidR="00C63999" w:rsidRPr="0095031D" w:rsidRDefault="007E7611" w:rsidP="00D650C6">
      <w:pPr>
        <w:pStyle w:val="Title2"/>
      </w:pPr>
      <w:r>
        <w:t xml:space="preserve">Author </w:t>
      </w:r>
      <w:r w:rsidR="004D3125" w:rsidRPr="0095031D">
        <w:t xml:space="preserve">Name </w:t>
      </w:r>
    </w:p>
    <w:p w14:paraId="22FE8A33" w14:textId="7E7C5F1B" w:rsidR="00E81978" w:rsidRPr="0095031D" w:rsidRDefault="004D3125" w:rsidP="00D650C6">
      <w:pPr>
        <w:pStyle w:val="Title2"/>
      </w:pPr>
      <w:r w:rsidRPr="0095031D">
        <w:t>[Institutional Affiliation(s)]</w:t>
      </w:r>
    </w:p>
    <w:p w14:paraId="1A087968" w14:textId="77777777" w:rsidR="00E81978" w:rsidRPr="0095031D" w:rsidRDefault="004D3125" w:rsidP="00D650C6">
      <w:pPr>
        <w:pStyle w:val="Title"/>
      </w:pPr>
      <w:r w:rsidRPr="0095031D">
        <w:t>Author Note</w:t>
      </w:r>
    </w:p>
    <w:p w14:paraId="221AC589" w14:textId="77777777" w:rsidR="00E81978" w:rsidRPr="0095031D" w:rsidRDefault="00E81978" w:rsidP="00D650C6">
      <w:pPr>
        <w:rPr>
          <w:color w:val="FF0000"/>
        </w:rPr>
      </w:pPr>
    </w:p>
    <w:p w14:paraId="7B91750D" w14:textId="0251D552" w:rsidR="0080428C" w:rsidRPr="0095031D" w:rsidRDefault="004D3125" w:rsidP="00D650C6">
      <w:pPr>
        <w:pStyle w:val="SectionTitle"/>
      </w:pPr>
      <w:r w:rsidRPr="0095031D">
        <w:lastRenderedPageBreak/>
        <w:t xml:space="preserve"> Evidence-Based Practice </w:t>
      </w:r>
      <w:r w:rsidR="00B849BE" w:rsidRPr="0095031D">
        <w:rPr>
          <w:color w:val="FF0000"/>
        </w:rPr>
        <w:tab/>
      </w:r>
    </w:p>
    <w:p w14:paraId="2E883FF5" w14:textId="68CEF525" w:rsidR="0095031D" w:rsidRDefault="004D3125" w:rsidP="0095031D">
      <w:pPr>
        <w:ind w:firstLine="720"/>
        <w:jc w:val="both"/>
      </w:pPr>
      <w:r w:rsidRPr="0095031D">
        <w:t xml:space="preserve">Evidence-based practice is essential for healthcare </w:t>
      </w:r>
      <w:r w:rsidR="00914D4C" w:rsidRPr="0095031D">
        <w:t>amenities</w:t>
      </w:r>
      <w:r w:rsidRPr="0095031D">
        <w:t xml:space="preserve"> to deliver effective and quality care to patients. Several studies have been projected to emphasize critical importance to the application of </w:t>
      </w:r>
      <w:r w:rsidR="00914D4C">
        <w:t xml:space="preserve">evidence based </w:t>
      </w:r>
      <w:r w:rsidRPr="0095031D">
        <w:t xml:space="preserve">practice in nursing. Transforming healthcare settings to formulate evidence-based practice to improve patient care and </w:t>
      </w:r>
      <w:r w:rsidR="00466211">
        <w:t>an</w:t>
      </w:r>
      <w:r w:rsidRPr="0095031D">
        <w:t xml:space="preserve"> </w:t>
      </w:r>
      <w:r w:rsidR="00BF61B4">
        <w:t xml:space="preserve">enabling </w:t>
      </w:r>
      <w:r w:rsidRPr="0095031D">
        <w:t xml:space="preserve">atmosphere of the hospital is important </w:t>
      </w:r>
      <w:r w:rsidRPr="0095031D">
        <w:fldChar w:fldCharType="begin"/>
      </w:r>
      <w:r w:rsidRPr="0095031D">
        <w:instrText xml:space="preserve"> ADDIN ZOTERO_ITEM CSL_CITATION {"citationID":"a2qn8bd7kjk","properties":{"formattedCitation":"(Mackey &amp; Bassendowski, 2017)","plainCitation":"(Mackey &amp; Bassendowski, 2017)"},"citationItems":[{"id":1080,"uris":["http://zotero.org/users/local/p8kwKNoG/items/C3PH54KW"],"uri":["http://zotero.org/users/local/p8kwKNoG/items/C3PH54KW"],"itemData":{"id":1080,"type":"article-journal","title":"The history of evidence-based practice in nursing education and practice","container-title":"Journal of Professional Nursing","page":"51-55","volume":"33","issue":"1","author":[{"family":"Mackey","given":"April"},{"family":"Bassendowski","given":"Sandra"}],"issued":{"date-parts":[["2017"]]}}}],"schema":"https://github.com/citation-style-language/schema/raw/master/csl-citation.json"} </w:instrText>
      </w:r>
      <w:r w:rsidRPr="0095031D">
        <w:fldChar w:fldCharType="separate"/>
      </w:r>
      <w:r w:rsidRPr="0095031D">
        <w:t>(Mackey &amp; Bassendowski, 2017)</w:t>
      </w:r>
      <w:r w:rsidRPr="0095031D">
        <w:fldChar w:fldCharType="end"/>
      </w:r>
      <w:r w:rsidRPr="0095031D">
        <w:t xml:space="preserve">. This is important to introduce the evidence-based culture of practices among nurses to increase patient care and concerted inter-professional research. The vision and mission of evidence-based research and practice in nursing will enable nurses to achieve their goals. It will assist hospitals in attaining improved partnerships among academic nursing and educational health centers. Nurses need to improve their practice and I think PICOT analysis has helped us in various aspects. For example, it helped </w:t>
      </w:r>
      <w:r w:rsidR="00E11A2F">
        <w:t xml:space="preserve">to </w:t>
      </w:r>
      <w:r w:rsidRPr="0095031D">
        <w:t>identify the problem and its major causes and consequences</w:t>
      </w:r>
      <w:r w:rsidR="00E11A2F">
        <w:t xml:space="preserve"> in nursing profession</w:t>
      </w:r>
      <w:r w:rsidRPr="0095031D">
        <w:t>. Healthcare is a sensitive field that involves patient care and health</w:t>
      </w:r>
      <w:r w:rsidR="00466211">
        <w:t>,</w:t>
      </w:r>
      <w:r w:rsidRPr="0095031D">
        <w:t xml:space="preserve"> therefore, healthcare providers need to use evidence-based practice </w:t>
      </w:r>
      <w:r w:rsidRPr="0095031D">
        <w:fldChar w:fldCharType="begin"/>
      </w:r>
      <w:r w:rsidRPr="0095031D">
        <w:instrText xml:space="preserve"> ADDIN ZOTERO_ITEM CSL_CITATION {"citationID":"a10pe5g6muq","properties":{"formattedCitation":"(Tuazon, 2016)","plainCitation":"(Tuazon, 2016)"},"citationItems":[{"id":1079,"uris":["http://zotero.org/users/local/p8kwKNoG/items/QRR6KKXW"],"uri":["http://zotero.org/users/local/p8kwKNoG/items/QRR6KKXW"],"itemData":{"id":1079,"type":"book","title":"A Case Study on the Meaning of Evidence-Based Practice among Bedside Staff NursesWorking in the Intensive Care Unit","publisher":"Northcentral University","ISBN":"1-339-67425-4","author":[{"family":"Tuazon","given":"Nelson"}],"issued":{"date-parts":[["2016"]]}}}],"schema":"https://github.com/citation-style-language/schema/raw/master/csl-citation.json"} </w:instrText>
      </w:r>
      <w:r w:rsidRPr="0095031D">
        <w:fldChar w:fldCharType="separate"/>
      </w:r>
      <w:r w:rsidRPr="0095031D">
        <w:t>(Tuazon, 2016)</w:t>
      </w:r>
      <w:r w:rsidRPr="0095031D">
        <w:fldChar w:fldCharType="end"/>
      </w:r>
      <w:r w:rsidRPr="0095031D">
        <w:t xml:space="preserve">. Studying </w:t>
      </w:r>
      <w:r w:rsidR="00466211">
        <w:t xml:space="preserve">the </w:t>
      </w:r>
      <w:r w:rsidRPr="0095031D">
        <w:t xml:space="preserve">six steps of transforming the culture of evidence-based practice, </w:t>
      </w:r>
      <w:r w:rsidR="00466211">
        <w:t>knowledge,</w:t>
      </w:r>
      <w:r w:rsidRPr="0095031D">
        <w:t xml:space="preserve"> and utilization of evidence-based practice in nursing schools to introduce innovation in delivering healthcare facilities to </w:t>
      </w:r>
      <w:r w:rsidR="00E11A2F">
        <w:t>patients was helpful.</w:t>
      </w:r>
    </w:p>
    <w:p w14:paraId="15FC3CE2" w14:textId="20A40DA1" w:rsidR="0080428C" w:rsidRDefault="004D3125" w:rsidP="00914D4C">
      <w:pPr>
        <w:ind w:firstLine="720"/>
        <w:jc w:val="both"/>
      </w:pPr>
      <w:r w:rsidRPr="0095031D">
        <w:t>PICOT analysis provides a brief overview of the evidence-based programs and their efficacy in implementing practical research</w:t>
      </w:r>
      <w:r w:rsidR="00466211">
        <w:t xml:space="preserve"> for</w:t>
      </w:r>
      <w:r w:rsidRPr="0095031D">
        <w:t xml:space="preserve"> </w:t>
      </w:r>
      <w:r w:rsidR="00466211" w:rsidRPr="0095031D">
        <w:t xml:space="preserve">health </w:t>
      </w:r>
      <w:r w:rsidRPr="0095031D">
        <w:t xml:space="preserve">progress. Developing skills and practice of nurses will ultimately help them to improve quality care and the burden of disease would be reduced </w:t>
      </w:r>
      <w:r w:rsidRPr="0095031D">
        <w:fldChar w:fldCharType="begin"/>
      </w:r>
      <w:r>
        <w:instrText xml:space="preserve"> ADDIN ZOTERO_ITEM CSL_CITATION {"citationID":"zWJ7MNV6","properties":{"formattedCitation":"(Mackey &amp; Bassendowski, 2017)","plainCitation":"(Mackey &amp; Bassendowski, 2017)"},"citationItems":[{"id":1080,"uris":["http://zotero.org/users/local/p8kwKNoG/items/C3PH54KW"],"uri":["http://zotero.org/users/local/p8kwKNoG/items/C3PH54KW"],"itemData":{"id":1080,"type":"article-journal","title":"The history of evidence-based practice in nursing education and practice","container-title":"Journal of Professional Nursing","page":"51-55","volume":"33","issue":"1","author":[{"family":"Mackey","given":"April"},{"family":"Bassendowski","given":"Sandra"}],"issued":{"date-parts":[["2017"]]}}}],"schema":"https://github.com/citation-style-language/schema/raw/master/csl-citation.json"} </w:instrText>
      </w:r>
      <w:r w:rsidRPr="0095031D">
        <w:fldChar w:fldCharType="separate"/>
      </w:r>
      <w:r w:rsidRPr="0095031D">
        <w:t>(Mackey &amp; Bassendowski, 2017)</w:t>
      </w:r>
      <w:r w:rsidRPr="0095031D">
        <w:fldChar w:fldCharType="end"/>
      </w:r>
      <w:r w:rsidRPr="0095031D">
        <w:t>. Therefore, introducing healthcare practices in nursing will engage registered nurses to identify result-oriented interventions for older people. For example, prevention from fall</w:t>
      </w:r>
      <w:r w:rsidR="00466211">
        <w:t>s</w:t>
      </w:r>
      <w:r w:rsidRPr="0095031D">
        <w:t xml:space="preserve"> has been evaluated through evidence-based practice that it can be effectively </w:t>
      </w:r>
      <w:r w:rsidRPr="0095031D">
        <w:lastRenderedPageBreak/>
        <w:t>reduced after</w:t>
      </w:r>
      <w:r w:rsidR="00EF4BDE">
        <w:t xml:space="preserve"> applying precautions</w:t>
      </w:r>
      <w:r w:rsidRPr="0095031D">
        <w:t xml:space="preserve"> such as improving safety measures at homes and hospitals</w:t>
      </w:r>
      <w:r w:rsidR="00466211">
        <w:t>,</w:t>
      </w:r>
      <w:r w:rsidRPr="0095031D">
        <w:t xml:space="preserve"> and facilitating older people in managing their health and balance. </w:t>
      </w:r>
    </w:p>
    <w:p w14:paraId="08A4DC22" w14:textId="379DBC19" w:rsidR="00EF4BDE" w:rsidRPr="00914D4C" w:rsidRDefault="00EF4BDE" w:rsidP="00EF4BDE">
      <w:pPr>
        <w:spacing w:line="240" w:lineRule="auto"/>
      </w:pPr>
      <w:r>
        <w:br w:type="page"/>
      </w:r>
    </w:p>
    <w:sdt>
      <w:sdtPr>
        <w:rPr>
          <w:b/>
          <w:bCs/>
          <w:kern w:val="24"/>
        </w:rPr>
        <w:id w:val="-1826895820"/>
        <w:docPartObj>
          <w:docPartGallery w:val="Bibliographies"/>
          <w:docPartUnique/>
        </w:docPartObj>
      </w:sdtPr>
      <w:sdtEndPr>
        <w:rPr>
          <w:b w:val="0"/>
          <w:bCs w:val="0"/>
        </w:rPr>
      </w:sdtEndPr>
      <w:sdtContent>
        <w:p w14:paraId="283E8F36" w14:textId="75F3687B" w:rsidR="009D1AE9" w:rsidRPr="0095031D" w:rsidRDefault="004D3125" w:rsidP="00D650C6">
          <w:pPr>
            <w:jc w:val="center"/>
            <w:rPr>
              <w:b/>
            </w:rPr>
          </w:pPr>
          <w:r w:rsidRPr="0095031D">
            <w:rPr>
              <w:b/>
            </w:rPr>
            <w:t>References</w:t>
          </w:r>
        </w:p>
        <w:sdt>
          <w:sdtPr>
            <w:rPr>
              <w:kern w:val="0"/>
            </w:rPr>
            <w:id w:val="-573587230"/>
            <w:bibliography/>
          </w:sdtPr>
          <w:sdtEndPr>
            <w:rPr>
              <w:kern w:val="24"/>
            </w:rPr>
          </w:sdtEndPr>
          <w:sdtContent>
            <w:p w14:paraId="2315D5C8" w14:textId="77777777" w:rsidR="0095031D" w:rsidRPr="0095031D" w:rsidRDefault="004D3125" w:rsidP="0095031D">
              <w:pPr>
                <w:pStyle w:val="Bibliography"/>
              </w:pPr>
              <w:r w:rsidRPr="0095031D">
                <w:fldChar w:fldCharType="begin"/>
              </w:r>
              <w:r>
                <w:instrText xml:space="preserve"> ADDIN ZOTERO_BIBL {"uncited":[["http://zotero.org/users/local/p8kwKNoG/items/QRR6KKXW"],["http://zotero.org/users/local/p8kwKNoG/items/C3PH54KW"]],"omitted":[["http://zotero.org/users/local/p8kwKNoG/items/632IRYQC"],["http://zotero.org/users/local/p8kwKNoG/items/4LPKB7RY"],["http://zotero.org/users/local/p8kwKNoG/items/7IAN3XLQ"]],"custom":[]} CSL_BIBLIOGRAPHY </w:instrText>
              </w:r>
              <w:r w:rsidRPr="0095031D">
                <w:fldChar w:fldCharType="separate"/>
              </w:r>
              <w:r w:rsidRPr="0095031D">
                <w:t xml:space="preserve">Mackey, A., &amp; Bassendowski, S. (2017). The history of evidence-based practice in nursing education and practice. </w:t>
              </w:r>
              <w:r w:rsidRPr="0095031D">
                <w:rPr>
                  <w:i/>
                  <w:iCs/>
                </w:rPr>
                <w:t>Journal of Professional Nursing</w:t>
              </w:r>
              <w:r w:rsidRPr="0095031D">
                <w:t xml:space="preserve">, </w:t>
              </w:r>
              <w:r w:rsidRPr="0095031D">
                <w:rPr>
                  <w:i/>
                  <w:iCs/>
                </w:rPr>
                <w:t>33</w:t>
              </w:r>
              <w:r w:rsidRPr="0095031D">
                <w:t>(1), 51–55.</w:t>
              </w:r>
            </w:p>
            <w:p w14:paraId="17B71B72" w14:textId="77777777" w:rsidR="0095031D" w:rsidRPr="0095031D" w:rsidRDefault="004D3125" w:rsidP="0095031D">
              <w:pPr>
                <w:pStyle w:val="Bibliography"/>
              </w:pPr>
              <w:r w:rsidRPr="0095031D">
                <w:t xml:space="preserve">Tuazon, N. (2016). </w:t>
              </w:r>
              <w:r w:rsidRPr="0095031D">
                <w:rPr>
                  <w:i/>
                  <w:iCs/>
                </w:rPr>
                <w:t>A Case Study on the Meaning of Evidence-Based Practice among Bedside Staff NursesWorking in the Intensive Care Unit</w:t>
              </w:r>
              <w:r w:rsidRPr="0095031D">
                <w:t>. Northcentral University.</w:t>
              </w:r>
            </w:p>
            <w:p w14:paraId="0308C54A" w14:textId="2FF8E3FE" w:rsidR="009D1AE9" w:rsidRPr="0095031D" w:rsidRDefault="004D3125" w:rsidP="00D573CE">
              <w:pPr>
                <w:pStyle w:val="Bibliography"/>
              </w:pPr>
              <w:r w:rsidRPr="0095031D">
                <w:fldChar w:fldCharType="end"/>
              </w:r>
            </w:p>
          </w:sdtContent>
        </w:sdt>
      </w:sdtContent>
    </w:sdt>
    <w:p w14:paraId="3243EEF7" w14:textId="77777777" w:rsidR="009D1AE9" w:rsidRPr="0095031D" w:rsidRDefault="009D1AE9" w:rsidP="00D650C6">
      <w:pPr>
        <w:rPr>
          <w:color w:val="FF0000"/>
        </w:rPr>
      </w:pPr>
    </w:p>
    <w:p w14:paraId="02B92E43" w14:textId="5CC84844" w:rsidR="009803A6" w:rsidRPr="0095031D" w:rsidRDefault="009803A6" w:rsidP="00D650C6">
      <w:pPr>
        <w:rPr>
          <w:color w:val="FF0000"/>
        </w:rPr>
      </w:pPr>
    </w:p>
    <w:p w14:paraId="2EBD1887" w14:textId="0DA7DA7C" w:rsidR="00BB5D44" w:rsidRPr="0095031D" w:rsidRDefault="004D3125" w:rsidP="00D650C6">
      <w:pPr>
        <w:rPr>
          <w:color w:val="FF0000"/>
        </w:rPr>
      </w:pPr>
      <w:r w:rsidRPr="0095031D">
        <w:rPr>
          <w:color w:val="FF0000"/>
        </w:rPr>
        <w:tab/>
      </w:r>
    </w:p>
    <w:p w14:paraId="74666CB5" w14:textId="186542A2" w:rsidR="00BB5D44" w:rsidRPr="0095031D" w:rsidRDefault="004D3125" w:rsidP="00D650C6">
      <w:pPr>
        <w:rPr>
          <w:color w:val="FF0000"/>
        </w:rPr>
      </w:pPr>
      <w:r w:rsidRPr="0095031D">
        <w:rPr>
          <w:color w:val="FF0000"/>
        </w:rPr>
        <w:tab/>
      </w:r>
    </w:p>
    <w:p w14:paraId="4F569008" w14:textId="77777777" w:rsidR="00C63999" w:rsidRPr="0095031D" w:rsidRDefault="00C63999" w:rsidP="00D650C6">
      <w:pPr>
        <w:rPr>
          <w:color w:val="FF0000"/>
        </w:rPr>
      </w:pPr>
    </w:p>
    <w:sectPr w:rsidR="00C63999" w:rsidRPr="0095031D"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CB222" w14:textId="77777777" w:rsidR="007479BD" w:rsidRDefault="007479BD">
      <w:pPr>
        <w:spacing w:line="240" w:lineRule="auto"/>
      </w:pPr>
      <w:r>
        <w:separator/>
      </w:r>
    </w:p>
  </w:endnote>
  <w:endnote w:type="continuationSeparator" w:id="0">
    <w:p w14:paraId="35088AED" w14:textId="77777777" w:rsidR="007479BD" w:rsidRDefault="00747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5ADF" w14:textId="77777777" w:rsidR="007479BD" w:rsidRDefault="007479BD">
      <w:pPr>
        <w:spacing w:line="240" w:lineRule="auto"/>
      </w:pPr>
      <w:r>
        <w:separator/>
      </w:r>
    </w:p>
  </w:footnote>
  <w:footnote w:type="continuationSeparator" w:id="0">
    <w:p w14:paraId="7B13F6CC" w14:textId="77777777" w:rsidR="007479BD" w:rsidRDefault="007479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29D626A" w:rsidR="00E81978" w:rsidRDefault="00914D4C" w:rsidP="004B099C">
    <w:pPr>
      <w:pStyle w:val="Header"/>
    </w:pPr>
    <w:r>
      <w:t>HEALTHCARE AND NURSING</w:t>
    </w:r>
    <w:r w:rsidR="00BB5D44" w:rsidRPr="00BB5D44">
      <w:t xml:space="preserve"> </w:t>
    </w:r>
    <w:r>
      <w:tab/>
    </w:r>
    <w:r>
      <w:tab/>
    </w:r>
    <w:r>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43E9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B8D8532" w:rsidR="00E81978" w:rsidRDefault="004D3125" w:rsidP="004B099C">
    <w:pPr>
      <w:pStyle w:val="Header"/>
      <w:rPr>
        <w:rStyle w:val="Strong"/>
      </w:rPr>
    </w:pPr>
    <w:r>
      <w:rPr>
        <w:rStyle w:val="Strong"/>
      </w:rPr>
      <w:t>HEALTHCARE AND NURSINg</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F7799A">
      <w:rPr>
        <w:rStyle w:val="Strong"/>
      </w:rPr>
      <w:fldChar w:fldCharType="begin"/>
    </w:r>
    <w:r w:rsidR="00F7799A">
      <w:rPr>
        <w:rStyle w:val="Strong"/>
      </w:rPr>
      <w:instrText xml:space="preserve"> PAGE   \* MERGEFORMAT </w:instrText>
    </w:r>
    <w:r w:rsidR="00F7799A">
      <w:rPr>
        <w:rStyle w:val="Strong"/>
      </w:rPr>
      <w:fldChar w:fldCharType="separate"/>
    </w:r>
    <w:r w:rsidR="00743E97">
      <w:rPr>
        <w:rStyle w:val="Strong"/>
        <w:noProof/>
      </w:rPr>
      <w:t>1</w:t>
    </w:r>
    <w:r w:rsidR="00F7799A">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4E5B"/>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292C"/>
    <w:rsid w:val="002848F8"/>
    <w:rsid w:val="00295BF4"/>
    <w:rsid w:val="00297740"/>
    <w:rsid w:val="002A146F"/>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5087F"/>
    <w:rsid w:val="004629EC"/>
    <w:rsid w:val="00466211"/>
    <w:rsid w:val="004672B9"/>
    <w:rsid w:val="004875C8"/>
    <w:rsid w:val="004A7A85"/>
    <w:rsid w:val="004B099C"/>
    <w:rsid w:val="004B5AB0"/>
    <w:rsid w:val="004D3125"/>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3E97"/>
    <w:rsid w:val="007479BD"/>
    <w:rsid w:val="00767246"/>
    <w:rsid w:val="00770232"/>
    <w:rsid w:val="007859BA"/>
    <w:rsid w:val="00787C0A"/>
    <w:rsid w:val="0079215B"/>
    <w:rsid w:val="007A0131"/>
    <w:rsid w:val="007C0F06"/>
    <w:rsid w:val="007D2872"/>
    <w:rsid w:val="007D3798"/>
    <w:rsid w:val="007E7611"/>
    <w:rsid w:val="007F2866"/>
    <w:rsid w:val="007F3F65"/>
    <w:rsid w:val="008002C0"/>
    <w:rsid w:val="0080428C"/>
    <w:rsid w:val="00807261"/>
    <w:rsid w:val="00842C83"/>
    <w:rsid w:val="008579D8"/>
    <w:rsid w:val="0086578A"/>
    <w:rsid w:val="00897A90"/>
    <w:rsid w:val="008A55F2"/>
    <w:rsid w:val="008C5323"/>
    <w:rsid w:val="008D7559"/>
    <w:rsid w:val="00904A66"/>
    <w:rsid w:val="00914D4C"/>
    <w:rsid w:val="00915F57"/>
    <w:rsid w:val="00920222"/>
    <w:rsid w:val="0093326A"/>
    <w:rsid w:val="0093331A"/>
    <w:rsid w:val="00936F33"/>
    <w:rsid w:val="0095031D"/>
    <w:rsid w:val="00956426"/>
    <w:rsid w:val="00975A25"/>
    <w:rsid w:val="00977963"/>
    <w:rsid w:val="0098006A"/>
    <w:rsid w:val="009803A6"/>
    <w:rsid w:val="009A177D"/>
    <w:rsid w:val="009A3BE4"/>
    <w:rsid w:val="009A407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A70DC"/>
    <w:rsid w:val="00BB5D44"/>
    <w:rsid w:val="00BE6FD1"/>
    <w:rsid w:val="00BF33CD"/>
    <w:rsid w:val="00BF4184"/>
    <w:rsid w:val="00BF61B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26184"/>
    <w:rsid w:val="00D55E14"/>
    <w:rsid w:val="00D573CE"/>
    <w:rsid w:val="00D650C6"/>
    <w:rsid w:val="00D67183"/>
    <w:rsid w:val="00D71FDB"/>
    <w:rsid w:val="00D755FF"/>
    <w:rsid w:val="00D759F7"/>
    <w:rsid w:val="00D85B16"/>
    <w:rsid w:val="00D85B68"/>
    <w:rsid w:val="00DA24BA"/>
    <w:rsid w:val="00DA4602"/>
    <w:rsid w:val="00DA71E8"/>
    <w:rsid w:val="00DB45B3"/>
    <w:rsid w:val="00DB7320"/>
    <w:rsid w:val="00DC31B9"/>
    <w:rsid w:val="00DC5F47"/>
    <w:rsid w:val="00DE4FA2"/>
    <w:rsid w:val="00DF5C46"/>
    <w:rsid w:val="00E02FAD"/>
    <w:rsid w:val="00E11A2F"/>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4BDE"/>
    <w:rsid w:val="00EF7277"/>
    <w:rsid w:val="00F13D49"/>
    <w:rsid w:val="00F24C65"/>
    <w:rsid w:val="00F303AB"/>
    <w:rsid w:val="00F336CD"/>
    <w:rsid w:val="00F379B7"/>
    <w:rsid w:val="00F40540"/>
    <w:rsid w:val="00F44C98"/>
    <w:rsid w:val="00F525FA"/>
    <w:rsid w:val="00F57BFD"/>
    <w:rsid w:val="00F678F8"/>
    <w:rsid w:val="00F7799A"/>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7D114CF-8379-4107-A088-ED767E22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2020-01-11T09:12:00Z</dcterms:created>
  <dcterms:modified xsi:type="dcterms:W3CDTF">2020-01-11T09:12:00Z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id="8toMJJYV"/&gt;&lt;style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