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EC1D88" w:rsidRDefault="007465A1" w:rsidP="00CF4875">
      <w:pPr>
        <w:spacing w:after="0"/>
        <w:jc w:val="center"/>
        <w:rPr>
          <w:rFonts w:ascii="Times New Roman" w:hAnsi="Times New Roman"/>
          <w:sz w:val="24"/>
          <w:szCs w:val="24"/>
        </w:rPr>
      </w:pPr>
      <w:r>
        <w:rPr>
          <w:rFonts w:ascii="Times New Roman" w:hAnsi="Times New Roman"/>
          <w:sz w:val="24"/>
          <w:szCs w:val="24"/>
        </w:rPr>
        <w:t>Modern History</w:t>
      </w:r>
      <w:r w:rsidR="001173F2">
        <w:rPr>
          <w:rFonts w:ascii="Times New Roman" w:hAnsi="Times New Roman"/>
          <w:sz w:val="24"/>
          <w:szCs w:val="24"/>
        </w:rPr>
        <w:t xml:space="preserve">: </w:t>
      </w:r>
      <w:r>
        <w:rPr>
          <w:rFonts w:ascii="Times New Roman" w:hAnsi="Times New Roman"/>
          <w:sz w:val="24"/>
          <w:szCs w:val="24"/>
        </w:rPr>
        <w:t>The International Relations of the Middle East since 1945</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EC1D88" w:rsidRDefault="007465A1" w:rsidP="00CF4875">
      <w:pPr>
        <w:spacing w:after="0"/>
        <w:jc w:val="center"/>
        <w:rPr>
          <w:rFonts w:ascii="Times New Roman" w:hAnsi="Times New Roman"/>
          <w:sz w:val="24"/>
          <w:szCs w:val="24"/>
        </w:rPr>
      </w:pPr>
      <w:r w:rsidRPr="00EC1D88">
        <w:rPr>
          <w:rFonts w:ascii="Times New Roman" w:hAnsi="Times New Roman"/>
          <w:sz w:val="24"/>
          <w:szCs w:val="24"/>
        </w:rPr>
        <w:t xml:space="preserve">Chadi Jabbour </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7465A1" w:rsidP="00CF4875">
      <w:pPr>
        <w:spacing w:after="0"/>
        <w:jc w:val="center"/>
        <w:rPr>
          <w:rFonts w:ascii="Times New Roman" w:hAnsi="Times New Roman"/>
          <w:sz w:val="24"/>
          <w:szCs w:val="24"/>
        </w:rPr>
      </w:pPr>
      <w:r>
        <w:rPr>
          <w:rFonts w:ascii="Times New Roman" w:hAnsi="Times New Roman"/>
          <w:sz w:val="24"/>
          <w:szCs w:val="24"/>
        </w:rPr>
        <w:t>29 October 2019</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spacing w:after="0"/>
        <w:jc w:val="center"/>
        <w:rPr>
          <w:rFonts w:ascii="Times New Roman" w:hAnsi="Times New Roman"/>
          <w:sz w:val="24"/>
          <w:szCs w:val="24"/>
        </w:rPr>
      </w:pPr>
    </w:p>
    <w:p w:rsidR="00962ABF" w:rsidRPr="00D6664A" w:rsidRDefault="007465A1"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rsidR="00484CA2" w:rsidRPr="00484CA2" w:rsidRDefault="007465A1" w:rsidP="00484CA2">
      <w:pPr>
        <w:spacing w:after="0" w:line="480" w:lineRule="auto"/>
        <w:ind w:firstLine="720"/>
        <w:jc w:val="center"/>
        <w:rPr>
          <w:rFonts w:ascii="Times New Roman" w:hAnsi="Times New Roman"/>
          <w:b/>
          <w:color w:val="000000" w:themeColor="text1"/>
          <w:sz w:val="24"/>
          <w:szCs w:val="24"/>
        </w:rPr>
      </w:pPr>
      <w:r w:rsidRPr="00484CA2">
        <w:rPr>
          <w:rFonts w:ascii="Times New Roman" w:hAnsi="Times New Roman"/>
          <w:b/>
          <w:color w:val="000000" w:themeColor="text1"/>
          <w:sz w:val="24"/>
          <w:szCs w:val="24"/>
        </w:rPr>
        <w:lastRenderedPageBreak/>
        <w:t>Introduction</w:t>
      </w:r>
    </w:p>
    <w:p w:rsidR="00C4109B" w:rsidRDefault="007465A1" w:rsidP="00DC5D0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B</w:t>
      </w:r>
      <w:r w:rsidR="001B7374">
        <w:rPr>
          <w:rFonts w:ascii="Times New Roman" w:hAnsi="Times New Roman"/>
          <w:color w:val="000000" w:themeColor="text1"/>
          <w:sz w:val="24"/>
          <w:szCs w:val="24"/>
        </w:rPr>
        <w:t xml:space="preserve">aghdad Pact is also popular as a pro-Western defence alliance between rive countries; Pakistan, United Kingdom, Turkey, </w:t>
      </w:r>
      <w:r w:rsidR="00370481">
        <w:rPr>
          <w:rFonts w:ascii="Times New Roman" w:hAnsi="Times New Roman"/>
          <w:color w:val="000000" w:themeColor="text1"/>
          <w:sz w:val="24"/>
          <w:szCs w:val="24"/>
        </w:rPr>
        <w:t>Iraq,</w:t>
      </w:r>
      <w:r w:rsidR="001B7374">
        <w:rPr>
          <w:rFonts w:ascii="Times New Roman" w:hAnsi="Times New Roman"/>
          <w:color w:val="000000" w:themeColor="text1"/>
          <w:sz w:val="24"/>
          <w:szCs w:val="24"/>
        </w:rPr>
        <w:t xml:space="preserve"> and Iran</w:t>
      </w:r>
      <w:r w:rsidR="00ED2FC7">
        <w:rPr>
          <w:rFonts w:ascii="Times New Roman" w:hAnsi="Times New Roman"/>
          <w:color w:val="000000" w:themeColor="text1"/>
          <w:sz w:val="24"/>
          <w:szCs w:val="24"/>
        </w:rPr>
        <w:t xml:space="preserve">. </w:t>
      </w:r>
      <w:r w:rsidR="001303BA">
        <w:rPr>
          <w:rFonts w:ascii="Times New Roman" w:hAnsi="Times New Roman"/>
          <w:color w:val="000000" w:themeColor="text1"/>
          <w:sz w:val="24"/>
          <w:szCs w:val="24"/>
        </w:rPr>
        <w:t xml:space="preserve">During the cold war, </w:t>
      </w:r>
      <w:r w:rsidR="00ED2FC7">
        <w:rPr>
          <w:rFonts w:ascii="Times New Roman" w:hAnsi="Times New Roman"/>
          <w:color w:val="000000" w:themeColor="text1"/>
          <w:sz w:val="24"/>
          <w:szCs w:val="24"/>
        </w:rPr>
        <w:t xml:space="preserve">Middle East, having a </w:t>
      </w:r>
      <w:r w:rsidR="001303BA">
        <w:rPr>
          <w:rFonts w:ascii="Times New Roman" w:hAnsi="Times New Roman"/>
          <w:color w:val="000000" w:themeColor="text1"/>
          <w:sz w:val="24"/>
          <w:szCs w:val="24"/>
        </w:rPr>
        <w:t>strong strategy</w:t>
      </w:r>
      <w:r w:rsidR="00ED2FC7">
        <w:rPr>
          <w:rFonts w:ascii="Times New Roman" w:hAnsi="Times New Roman"/>
          <w:color w:val="000000" w:themeColor="text1"/>
          <w:sz w:val="24"/>
          <w:szCs w:val="24"/>
        </w:rPr>
        <w:t xml:space="preserve">, was planning to </w:t>
      </w:r>
      <w:r w:rsidR="00D54DB3">
        <w:rPr>
          <w:rFonts w:ascii="Times New Roman" w:hAnsi="Times New Roman"/>
          <w:color w:val="000000" w:themeColor="text1"/>
          <w:sz w:val="24"/>
          <w:szCs w:val="24"/>
        </w:rPr>
        <w:t>border</w:t>
      </w:r>
      <w:r w:rsidR="00ED2FC7">
        <w:rPr>
          <w:rFonts w:ascii="Times New Roman" w:hAnsi="Times New Roman"/>
          <w:color w:val="000000" w:themeColor="text1"/>
          <w:sz w:val="24"/>
          <w:szCs w:val="24"/>
        </w:rPr>
        <w:t xml:space="preserve"> the Soviet Union </w:t>
      </w:r>
      <w:r w:rsidR="00BA0CB1">
        <w:rPr>
          <w:rFonts w:ascii="Times New Roman" w:hAnsi="Times New Roman"/>
          <w:color w:val="000000" w:themeColor="text1"/>
          <w:sz w:val="24"/>
          <w:szCs w:val="24"/>
        </w:rPr>
        <w:t>as this was in the interest of western groups</w:t>
      </w:r>
      <w:r w:rsidR="00AE3773">
        <w:rPr>
          <w:rFonts w:ascii="Times New Roman" w:hAnsi="Times New Roman"/>
          <w:color w:val="000000" w:themeColor="text1"/>
          <w:sz w:val="24"/>
          <w:szCs w:val="24"/>
        </w:rPr>
        <w:t xml:space="preserve">. The </w:t>
      </w:r>
      <w:r w:rsidR="00D54DB3">
        <w:rPr>
          <w:rFonts w:ascii="Times New Roman" w:hAnsi="Times New Roman"/>
          <w:color w:val="000000" w:themeColor="text1"/>
          <w:sz w:val="24"/>
          <w:szCs w:val="24"/>
        </w:rPr>
        <w:t xml:space="preserve">Soviet Union was a valuable region because of the communication </w:t>
      </w:r>
      <w:r w:rsidR="00441715">
        <w:rPr>
          <w:rFonts w:ascii="Times New Roman" w:hAnsi="Times New Roman"/>
          <w:color w:val="000000" w:themeColor="text1"/>
          <w:sz w:val="24"/>
          <w:szCs w:val="24"/>
        </w:rPr>
        <w:t>linkages,</w:t>
      </w:r>
      <w:r w:rsidR="00D54DB3">
        <w:rPr>
          <w:rFonts w:ascii="Times New Roman" w:hAnsi="Times New Roman"/>
          <w:color w:val="000000" w:themeColor="text1"/>
          <w:sz w:val="24"/>
          <w:szCs w:val="24"/>
        </w:rPr>
        <w:t xml:space="preserve"> abundance of oil and</w:t>
      </w:r>
      <w:r w:rsidR="00441715">
        <w:rPr>
          <w:rFonts w:ascii="Times New Roman" w:hAnsi="Times New Roman"/>
          <w:color w:val="000000" w:themeColor="text1"/>
          <w:sz w:val="24"/>
          <w:szCs w:val="24"/>
        </w:rPr>
        <w:t xml:space="preserve"> wealth.</w:t>
      </w:r>
      <w:r w:rsidR="00D54DB3">
        <w:rPr>
          <w:rFonts w:ascii="Times New Roman" w:hAnsi="Times New Roman"/>
          <w:color w:val="000000" w:themeColor="text1"/>
          <w:sz w:val="24"/>
          <w:szCs w:val="24"/>
        </w:rPr>
        <w:t xml:space="preserve"> </w:t>
      </w:r>
      <w:r w:rsidR="001F4BF8">
        <w:rPr>
          <w:rFonts w:ascii="Times New Roman" w:hAnsi="Times New Roman"/>
          <w:color w:val="000000" w:themeColor="text1"/>
          <w:sz w:val="24"/>
          <w:szCs w:val="24"/>
        </w:rPr>
        <w:t>It was planned that the newly emerging s</w:t>
      </w:r>
      <w:r w:rsidR="004D4F9F">
        <w:rPr>
          <w:rFonts w:ascii="Times New Roman" w:hAnsi="Times New Roman"/>
          <w:color w:val="000000" w:themeColor="text1"/>
          <w:sz w:val="24"/>
          <w:szCs w:val="24"/>
        </w:rPr>
        <w:t xml:space="preserve">tates would be aligned with </w:t>
      </w:r>
      <w:r w:rsidR="006D472F">
        <w:rPr>
          <w:rFonts w:ascii="Times New Roman" w:hAnsi="Times New Roman"/>
          <w:color w:val="000000" w:themeColor="text1"/>
          <w:sz w:val="24"/>
          <w:szCs w:val="24"/>
        </w:rPr>
        <w:t>Britain,</w:t>
      </w:r>
      <w:r w:rsidR="004D4F9F">
        <w:rPr>
          <w:rFonts w:ascii="Times New Roman" w:hAnsi="Times New Roman"/>
          <w:color w:val="000000" w:themeColor="text1"/>
          <w:sz w:val="24"/>
          <w:szCs w:val="24"/>
        </w:rPr>
        <w:t xml:space="preserve"> but the United States could not and faile</w:t>
      </w:r>
      <w:r w:rsidR="00877C6E">
        <w:rPr>
          <w:rFonts w:ascii="Times New Roman" w:hAnsi="Times New Roman"/>
          <w:color w:val="000000" w:themeColor="text1"/>
          <w:sz w:val="24"/>
          <w:szCs w:val="24"/>
        </w:rPr>
        <w:t xml:space="preserve">d to make the </w:t>
      </w:r>
      <w:r w:rsidR="00684C86">
        <w:rPr>
          <w:rFonts w:ascii="Times New Roman" w:hAnsi="Times New Roman"/>
          <w:color w:val="000000" w:themeColor="text1"/>
          <w:sz w:val="24"/>
          <w:szCs w:val="24"/>
        </w:rPr>
        <w:t>Treaty of Anglo-Egyptian successful</w:t>
      </w:r>
      <w:r w:rsidR="00877C6E">
        <w:rPr>
          <w:rFonts w:ascii="Times New Roman" w:hAnsi="Times New Roman"/>
          <w:color w:val="000000" w:themeColor="text1"/>
          <w:sz w:val="24"/>
          <w:szCs w:val="24"/>
        </w:rPr>
        <w:t xml:space="preserve"> and the</w:t>
      </w:r>
      <w:r w:rsidR="00684C86">
        <w:rPr>
          <w:rFonts w:ascii="Times New Roman" w:hAnsi="Times New Roman"/>
          <w:color w:val="000000" w:themeColor="text1"/>
          <w:sz w:val="24"/>
          <w:szCs w:val="24"/>
        </w:rPr>
        <w:t xml:space="preserve"> Treaty of</w:t>
      </w:r>
      <w:r w:rsidR="00877C6E">
        <w:rPr>
          <w:rFonts w:ascii="Times New Roman" w:hAnsi="Times New Roman"/>
          <w:color w:val="000000" w:themeColor="text1"/>
          <w:sz w:val="24"/>
          <w:szCs w:val="24"/>
        </w:rPr>
        <w:t xml:space="preserve"> Anglo-Iraqi</w:t>
      </w:r>
      <w:r w:rsidR="001615A7">
        <w:rPr>
          <w:rFonts w:ascii="Times New Roman" w:hAnsi="Times New Roman"/>
          <w:color w:val="000000" w:themeColor="text1"/>
          <w:sz w:val="24"/>
          <w:szCs w:val="24"/>
        </w:rPr>
        <w:t xml:space="preserve">. </w:t>
      </w:r>
      <w:r w:rsidR="0054495C">
        <w:rPr>
          <w:rFonts w:ascii="Times New Roman" w:hAnsi="Times New Roman"/>
          <w:color w:val="000000" w:themeColor="text1"/>
          <w:sz w:val="24"/>
          <w:szCs w:val="24"/>
        </w:rPr>
        <w:t>Following the United Kingdom, London and W</w:t>
      </w:r>
      <w:r w:rsidR="00545127">
        <w:rPr>
          <w:rFonts w:ascii="Times New Roman" w:hAnsi="Times New Roman"/>
          <w:color w:val="000000" w:themeColor="text1"/>
          <w:sz w:val="24"/>
          <w:szCs w:val="24"/>
        </w:rPr>
        <w:t>ashingto</w:t>
      </w:r>
      <w:r w:rsidR="003421A7">
        <w:rPr>
          <w:rFonts w:ascii="Times New Roman" w:hAnsi="Times New Roman"/>
          <w:color w:val="000000" w:themeColor="text1"/>
          <w:sz w:val="24"/>
          <w:szCs w:val="24"/>
        </w:rPr>
        <w:t xml:space="preserve">n made </w:t>
      </w:r>
      <w:r w:rsidR="001B125E">
        <w:rPr>
          <w:rFonts w:ascii="Times New Roman" w:hAnsi="Times New Roman"/>
          <w:color w:val="000000" w:themeColor="text1"/>
          <w:sz w:val="24"/>
          <w:szCs w:val="24"/>
        </w:rPr>
        <w:t>contracts</w:t>
      </w:r>
      <w:r w:rsidR="003421A7">
        <w:rPr>
          <w:rFonts w:ascii="Times New Roman" w:hAnsi="Times New Roman"/>
          <w:color w:val="000000" w:themeColor="text1"/>
          <w:sz w:val="24"/>
          <w:szCs w:val="24"/>
        </w:rPr>
        <w:t xml:space="preserve"> between</w:t>
      </w:r>
      <w:r w:rsidR="001B125E">
        <w:rPr>
          <w:rFonts w:ascii="Times New Roman" w:hAnsi="Times New Roman"/>
          <w:color w:val="000000" w:themeColor="text1"/>
          <w:sz w:val="24"/>
          <w:szCs w:val="24"/>
        </w:rPr>
        <w:t xml:space="preserve"> the five countries. </w:t>
      </w:r>
      <w:r w:rsidR="003421A7">
        <w:rPr>
          <w:rFonts w:ascii="Times New Roman" w:hAnsi="Times New Roman"/>
          <w:color w:val="000000" w:themeColor="text1"/>
          <w:sz w:val="24"/>
          <w:szCs w:val="24"/>
        </w:rPr>
        <w:t xml:space="preserve">These agreements between </w:t>
      </w:r>
      <w:r w:rsidR="007F747E">
        <w:rPr>
          <w:rFonts w:ascii="Times New Roman" w:hAnsi="Times New Roman"/>
          <w:color w:val="000000" w:themeColor="text1"/>
          <w:sz w:val="24"/>
          <w:szCs w:val="24"/>
        </w:rPr>
        <w:t>fiv</w:t>
      </w:r>
      <w:r w:rsidR="001B125E">
        <w:rPr>
          <w:rFonts w:ascii="Times New Roman" w:hAnsi="Times New Roman"/>
          <w:color w:val="000000" w:themeColor="text1"/>
          <w:sz w:val="24"/>
          <w:szCs w:val="24"/>
        </w:rPr>
        <w:t>e</w:t>
      </w:r>
      <w:r w:rsidR="007F747E">
        <w:rPr>
          <w:rFonts w:ascii="Times New Roman" w:hAnsi="Times New Roman"/>
          <w:color w:val="000000" w:themeColor="text1"/>
          <w:sz w:val="24"/>
          <w:szCs w:val="24"/>
        </w:rPr>
        <w:t xml:space="preserve"> </w:t>
      </w:r>
      <w:r w:rsidR="00525454">
        <w:rPr>
          <w:rFonts w:ascii="Times New Roman" w:hAnsi="Times New Roman"/>
          <w:color w:val="000000" w:themeColor="text1"/>
          <w:sz w:val="24"/>
          <w:szCs w:val="24"/>
        </w:rPr>
        <w:t>states</w:t>
      </w:r>
      <w:r w:rsidR="001B125E">
        <w:rPr>
          <w:rFonts w:ascii="Times New Roman" w:hAnsi="Times New Roman"/>
          <w:color w:val="000000" w:themeColor="text1"/>
          <w:sz w:val="24"/>
          <w:szCs w:val="24"/>
        </w:rPr>
        <w:t>, Turkey, Pakistan, Iraq, the United States, and Britain</w:t>
      </w:r>
      <w:r w:rsidR="00525454">
        <w:rPr>
          <w:rFonts w:ascii="Times New Roman" w:hAnsi="Times New Roman"/>
          <w:color w:val="000000" w:themeColor="text1"/>
          <w:sz w:val="24"/>
          <w:szCs w:val="24"/>
        </w:rPr>
        <w:t>,</w:t>
      </w:r>
      <w:r w:rsidR="007F747E">
        <w:rPr>
          <w:rFonts w:ascii="Times New Roman" w:hAnsi="Times New Roman"/>
          <w:color w:val="000000" w:themeColor="text1"/>
          <w:sz w:val="24"/>
          <w:szCs w:val="24"/>
        </w:rPr>
        <w:t xml:space="preserve"> merged the </w:t>
      </w:r>
      <w:r w:rsidR="006618E9">
        <w:rPr>
          <w:rFonts w:ascii="Times New Roman" w:hAnsi="Times New Roman"/>
          <w:color w:val="000000" w:themeColor="text1"/>
          <w:sz w:val="24"/>
          <w:szCs w:val="24"/>
        </w:rPr>
        <w:t>pro-Western political-military alliance</w:t>
      </w:r>
      <w:r w:rsidR="009E710A">
        <w:rPr>
          <w:rFonts w:ascii="Times New Roman" w:hAnsi="Times New Roman"/>
          <w:color w:val="000000" w:themeColor="text1"/>
          <w:sz w:val="24"/>
          <w:szCs w:val="24"/>
        </w:rPr>
        <w:t>s to the Baghdad</w:t>
      </w:r>
      <w:r w:rsidR="00CA4F3C">
        <w:rPr>
          <w:rFonts w:ascii="Times New Roman" w:hAnsi="Times New Roman"/>
          <w:color w:val="000000" w:themeColor="text1"/>
          <w:sz w:val="24"/>
          <w:szCs w:val="24"/>
        </w:rPr>
        <w:t xml:space="preserve"> Pact</w:t>
      </w:r>
      <w:r>
        <w:rPr>
          <w:rFonts w:ascii="Times New Roman" w:hAnsi="Times New Roman"/>
          <w:color w:val="000000" w:themeColor="text1"/>
          <w:sz w:val="24"/>
          <w:szCs w:val="24"/>
        </w:rPr>
        <w:t>.</w:t>
      </w:r>
      <w:r w:rsidR="008F11CA">
        <w:rPr>
          <w:rFonts w:ascii="Times New Roman" w:hAnsi="Times New Roman"/>
          <w:color w:val="000000" w:themeColor="text1"/>
          <w:sz w:val="24"/>
          <w:szCs w:val="24"/>
        </w:rPr>
        <w:t xml:space="preserve"> Baghdad Pact is considered as the outcome</w:t>
      </w:r>
      <w:r w:rsidR="00CA4F3C">
        <w:rPr>
          <w:rFonts w:ascii="Times New Roman" w:hAnsi="Times New Roman"/>
          <w:color w:val="000000" w:themeColor="text1"/>
          <w:sz w:val="24"/>
          <w:szCs w:val="24"/>
        </w:rPr>
        <w:t xml:space="preserve"> of a pact signed for the cooperation between Iraq and Turkey</w:t>
      </w:r>
      <w:r w:rsidR="0011037C">
        <w:rPr>
          <w:rFonts w:ascii="Times New Roman" w:hAnsi="Times New Roman"/>
          <w:color w:val="000000" w:themeColor="text1"/>
          <w:sz w:val="24"/>
          <w:szCs w:val="24"/>
        </w:rPr>
        <w:t xml:space="preserve">. It was 24 </w:t>
      </w:r>
      <w:r w:rsidR="00A6522C">
        <w:rPr>
          <w:rFonts w:ascii="Times New Roman" w:hAnsi="Times New Roman"/>
          <w:color w:val="000000" w:themeColor="text1"/>
          <w:sz w:val="24"/>
          <w:szCs w:val="24"/>
        </w:rPr>
        <w:t>February</w:t>
      </w:r>
      <w:r w:rsidR="0011037C">
        <w:rPr>
          <w:rFonts w:ascii="Times New Roman" w:hAnsi="Times New Roman"/>
          <w:color w:val="000000" w:themeColor="text1"/>
          <w:sz w:val="24"/>
          <w:szCs w:val="24"/>
        </w:rPr>
        <w:t xml:space="preserve"> 1955 when both countries signed the pact and </w:t>
      </w:r>
      <w:r w:rsidR="006D472F">
        <w:rPr>
          <w:rFonts w:ascii="Times New Roman" w:hAnsi="Times New Roman"/>
          <w:color w:val="000000" w:themeColor="text1"/>
          <w:sz w:val="24"/>
          <w:szCs w:val="24"/>
        </w:rPr>
        <w:t>later,</w:t>
      </w:r>
      <w:r w:rsidR="0011037C">
        <w:rPr>
          <w:rFonts w:ascii="Times New Roman" w:hAnsi="Times New Roman"/>
          <w:color w:val="000000" w:themeColor="text1"/>
          <w:sz w:val="24"/>
          <w:szCs w:val="24"/>
        </w:rPr>
        <w:t xml:space="preserve"> they were followed by </w:t>
      </w:r>
      <w:r w:rsidR="00F13C3D">
        <w:rPr>
          <w:rFonts w:ascii="Times New Roman" w:hAnsi="Times New Roman"/>
          <w:color w:val="000000" w:themeColor="text1"/>
          <w:sz w:val="24"/>
          <w:szCs w:val="24"/>
        </w:rPr>
        <w:t>UK, Iran and Pakistan in the same year</w:t>
      </w:r>
      <w:r w:rsidR="00413522">
        <w:rPr>
          <w:rFonts w:ascii="Times New Roman" w:hAnsi="Times New Roman"/>
          <w:color w:val="000000" w:themeColor="text1"/>
          <w:sz w:val="24"/>
          <w:szCs w:val="24"/>
        </w:rPr>
        <w:t>.</w:t>
      </w:r>
      <w:r w:rsidR="006D472F">
        <w:rPr>
          <w:rFonts w:ascii="Times New Roman" w:hAnsi="Times New Roman"/>
          <w:color w:val="000000" w:themeColor="text1"/>
          <w:sz w:val="24"/>
          <w:szCs w:val="24"/>
        </w:rPr>
        <w:t xml:space="preserve"> After the independence of Iraq in 1932, she started a coalition with Great Britain and the forces of the British could easily use the territory to act against the rivalry powers which would threaten their county.  </w:t>
      </w:r>
    </w:p>
    <w:p w:rsidR="00C4109B" w:rsidRDefault="007465A1" w:rsidP="00475458">
      <w:pPr>
        <w:spacing w:after="0" w:line="480" w:lineRule="auto"/>
        <w:ind w:firstLine="720"/>
        <w:jc w:val="center"/>
        <w:rPr>
          <w:rFonts w:ascii="Times New Roman" w:hAnsi="Times New Roman"/>
          <w:b/>
          <w:color w:val="000000" w:themeColor="text1"/>
          <w:sz w:val="24"/>
          <w:szCs w:val="24"/>
        </w:rPr>
      </w:pPr>
      <w:r w:rsidRPr="00475458">
        <w:rPr>
          <w:rFonts w:ascii="Times New Roman" w:hAnsi="Times New Roman"/>
          <w:b/>
          <w:color w:val="000000" w:themeColor="text1"/>
          <w:sz w:val="24"/>
          <w:szCs w:val="24"/>
        </w:rPr>
        <w:t>Political Purpose of Baghdad Pact 1955</w:t>
      </w:r>
    </w:p>
    <w:p w:rsidR="006D472F" w:rsidRPr="001338B7" w:rsidRDefault="007465A1" w:rsidP="00C7705C">
      <w:pPr>
        <w:spacing w:after="0" w:line="480" w:lineRule="auto"/>
        <w:rPr>
          <w:rFonts w:ascii="Times New Roman" w:hAnsi="Times New Roman"/>
          <w:color w:val="000000" w:themeColor="text1"/>
          <w:sz w:val="24"/>
          <w:szCs w:val="24"/>
        </w:rPr>
      </w:pPr>
      <w:r>
        <w:rPr>
          <w:rFonts w:ascii="Times New Roman" w:hAnsi="Times New Roman"/>
          <w:b/>
          <w:color w:val="000000" w:themeColor="text1"/>
          <w:sz w:val="24"/>
          <w:szCs w:val="24"/>
        </w:rPr>
        <w:tab/>
      </w:r>
      <w:r w:rsidRPr="001338B7">
        <w:rPr>
          <w:rFonts w:ascii="Times New Roman" w:hAnsi="Times New Roman"/>
          <w:color w:val="000000" w:themeColor="text1"/>
          <w:sz w:val="24"/>
          <w:szCs w:val="24"/>
        </w:rPr>
        <w:t xml:space="preserve">Baghdad Pact is also known as the Central Treaty </w:t>
      </w:r>
      <w:r w:rsidR="001338B7" w:rsidRPr="001338B7">
        <w:rPr>
          <w:rFonts w:ascii="Times New Roman" w:hAnsi="Times New Roman"/>
          <w:color w:val="000000" w:themeColor="text1"/>
          <w:sz w:val="24"/>
          <w:szCs w:val="24"/>
        </w:rPr>
        <w:t>Organization, which</w:t>
      </w:r>
      <w:r w:rsidRPr="001338B7">
        <w:rPr>
          <w:rFonts w:ascii="Times New Roman" w:hAnsi="Times New Roman"/>
          <w:color w:val="000000" w:themeColor="text1"/>
          <w:sz w:val="24"/>
          <w:szCs w:val="24"/>
        </w:rPr>
        <w:t xml:space="preserve"> was </w:t>
      </w:r>
      <w:r w:rsidR="001338B7" w:rsidRPr="001338B7">
        <w:rPr>
          <w:rFonts w:ascii="Times New Roman" w:hAnsi="Times New Roman"/>
          <w:color w:val="000000" w:themeColor="text1"/>
          <w:sz w:val="24"/>
          <w:szCs w:val="24"/>
        </w:rPr>
        <w:t xml:space="preserve">signed </w:t>
      </w:r>
      <w:r w:rsidRPr="001338B7">
        <w:rPr>
          <w:rFonts w:ascii="Times New Roman" w:hAnsi="Times New Roman"/>
          <w:color w:val="000000" w:themeColor="text1"/>
          <w:sz w:val="24"/>
          <w:szCs w:val="24"/>
        </w:rPr>
        <w:t xml:space="preserve">in 1995. </w:t>
      </w:r>
      <w:r w:rsidR="001338B7">
        <w:rPr>
          <w:rFonts w:ascii="Times New Roman" w:hAnsi="Times New Roman"/>
          <w:color w:val="000000" w:themeColor="text1"/>
          <w:sz w:val="24"/>
          <w:szCs w:val="24"/>
        </w:rPr>
        <w:t xml:space="preserve">The United State </w:t>
      </w:r>
      <w:r w:rsidR="007A2291">
        <w:rPr>
          <w:rFonts w:ascii="Times New Roman" w:hAnsi="Times New Roman"/>
          <w:color w:val="000000" w:themeColor="text1"/>
          <w:sz w:val="24"/>
          <w:szCs w:val="24"/>
        </w:rPr>
        <w:t xml:space="preserve">was interested in assisting any group of </w:t>
      </w:r>
      <w:r w:rsidR="00B677B5">
        <w:rPr>
          <w:rFonts w:ascii="Times New Roman" w:hAnsi="Times New Roman"/>
          <w:color w:val="000000" w:themeColor="text1"/>
          <w:sz w:val="24"/>
          <w:szCs w:val="24"/>
        </w:rPr>
        <w:t>countries</w:t>
      </w:r>
      <w:r w:rsidR="007A2291">
        <w:rPr>
          <w:rFonts w:ascii="Times New Roman" w:hAnsi="Times New Roman"/>
          <w:color w:val="000000" w:themeColor="text1"/>
          <w:sz w:val="24"/>
          <w:szCs w:val="24"/>
        </w:rPr>
        <w:t xml:space="preserve"> from the Middle East who had relations with the Russian agents in the area. </w:t>
      </w:r>
      <w:r w:rsidR="003118A8">
        <w:rPr>
          <w:rFonts w:ascii="Times New Roman" w:hAnsi="Times New Roman"/>
          <w:color w:val="000000" w:themeColor="text1"/>
          <w:sz w:val="24"/>
          <w:szCs w:val="24"/>
        </w:rPr>
        <w:t xml:space="preserve">To </w:t>
      </w:r>
      <w:r w:rsidR="00B677B5">
        <w:rPr>
          <w:rFonts w:ascii="Times New Roman" w:hAnsi="Times New Roman"/>
          <w:color w:val="000000" w:themeColor="text1"/>
          <w:sz w:val="24"/>
          <w:szCs w:val="24"/>
        </w:rPr>
        <w:t>make the countries strong in the region</w:t>
      </w:r>
      <w:r w:rsidR="003118A8">
        <w:rPr>
          <w:rFonts w:ascii="Times New Roman" w:hAnsi="Times New Roman"/>
          <w:color w:val="000000" w:themeColor="text1"/>
          <w:sz w:val="24"/>
          <w:szCs w:val="24"/>
        </w:rPr>
        <w:t xml:space="preserve"> and solve the issue</w:t>
      </w:r>
      <w:r w:rsidR="0074123A">
        <w:rPr>
          <w:rFonts w:ascii="Times New Roman" w:hAnsi="Times New Roman"/>
          <w:color w:val="000000" w:themeColor="text1"/>
          <w:sz w:val="24"/>
          <w:szCs w:val="24"/>
        </w:rPr>
        <w:t xml:space="preserve"> of the crisis of the Suez Canal and the</w:t>
      </w:r>
      <w:r w:rsidR="004612A7">
        <w:rPr>
          <w:rFonts w:ascii="Times New Roman" w:hAnsi="Times New Roman"/>
          <w:color w:val="000000" w:themeColor="text1"/>
          <w:sz w:val="24"/>
          <w:szCs w:val="24"/>
        </w:rPr>
        <w:t xml:space="preserve"> overcome</w:t>
      </w:r>
      <w:r w:rsidR="0074123A">
        <w:rPr>
          <w:rFonts w:ascii="Times New Roman" w:hAnsi="Times New Roman"/>
          <w:color w:val="000000" w:themeColor="text1"/>
          <w:sz w:val="24"/>
          <w:szCs w:val="24"/>
        </w:rPr>
        <w:t xml:space="preserve"> increase in the hatred for the Western European countries the Baghdad Pact was designed</w:t>
      </w:r>
      <w:r w:rsidR="004612A7">
        <w:rPr>
          <w:rFonts w:ascii="Times New Roman" w:hAnsi="Times New Roman"/>
          <w:color w:val="000000" w:themeColor="text1"/>
          <w:sz w:val="24"/>
          <w:szCs w:val="24"/>
        </w:rPr>
        <w:t xml:space="preserve">. Pakistan </w:t>
      </w:r>
      <w:r w:rsidR="003E469C">
        <w:rPr>
          <w:rFonts w:ascii="Times New Roman" w:hAnsi="Times New Roman"/>
          <w:color w:val="000000" w:themeColor="text1"/>
          <w:sz w:val="24"/>
          <w:szCs w:val="24"/>
        </w:rPr>
        <w:t xml:space="preserve">was also invited but it was reluctant to sign the </w:t>
      </w:r>
      <w:r w:rsidR="00780D45">
        <w:rPr>
          <w:rFonts w:ascii="Times New Roman" w:hAnsi="Times New Roman"/>
          <w:color w:val="000000" w:themeColor="text1"/>
          <w:sz w:val="24"/>
          <w:szCs w:val="24"/>
        </w:rPr>
        <w:t>pact,</w:t>
      </w:r>
      <w:r w:rsidR="003E469C">
        <w:rPr>
          <w:rFonts w:ascii="Times New Roman" w:hAnsi="Times New Roman"/>
          <w:color w:val="000000" w:themeColor="text1"/>
          <w:sz w:val="24"/>
          <w:szCs w:val="24"/>
        </w:rPr>
        <w:t xml:space="preserve"> so Pakistan invited the United States and </w:t>
      </w:r>
      <w:r w:rsidR="000018F0">
        <w:rPr>
          <w:rFonts w:ascii="Times New Roman" w:hAnsi="Times New Roman"/>
          <w:color w:val="000000" w:themeColor="text1"/>
          <w:sz w:val="24"/>
          <w:szCs w:val="24"/>
        </w:rPr>
        <w:t xml:space="preserve">the initiation was accepted. </w:t>
      </w:r>
      <w:r w:rsidR="00780D45">
        <w:rPr>
          <w:rFonts w:ascii="Times New Roman" w:hAnsi="Times New Roman"/>
          <w:color w:val="000000" w:themeColor="text1"/>
          <w:sz w:val="24"/>
          <w:szCs w:val="24"/>
        </w:rPr>
        <w:lastRenderedPageBreak/>
        <w:t xml:space="preserve">Before America became the partner in the pact, American administration supported the pact, because Egypt and </w:t>
      </w:r>
      <w:r w:rsidR="00CC2050">
        <w:rPr>
          <w:rFonts w:ascii="Times New Roman" w:hAnsi="Times New Roman"/>
          <w:color w:val="000000" w:themeColor="text1"/>
          <w:sz w:val="24"/>
          <w:szCs w:val="24"/>
        </w:rPr>
        <w:t>Saudi</w:t>
      </w:r>
      <w:r w:rsidR="00780D45">
        <w:rPr>
          <w:rFonts w:ascii="Times New Roman" w:hAnsi="Times New Roman"/>
          <w:color w:val="000000" w:themeColor="text1"/>
          <w:sz w:val="24"/>
          <w:szCs w:val="24"/>
        </w:rPr>
        <w:t xml:space="preserve"> Arabia were not in favour of the </w:t>
      </w:r>
      <w:r w:rsidR="00CC2050">
        <w:rPr>
          <w:rFonts w:ascii="Times New Roman" w:hAnsi="Times New Roman"/>
          <w:color w:val="000000" w:themeColor="text1"/>
          <w:sz w:val="24"/>
          <w:szCs w:val="24"/>
        </w:rPr>
        <w:t>Baghdad</w:t>
      </w:r>
      <w:r w:rsidR="00780D45">
        <w:rPr>
          <w:rFonts w:ascii="Times New Roman" w:hAnsi="Times New Roman"/>
          <w:color w:val="000000" w:themeColor="text1"/>
          <w:sz w:val="24"/>
          <w:szCs w:val="24"/>
        </w:rPr>
        <w:t xml:space="preserve"> Pact and their behaviours were </w:t>
      </w:r>
      <w:r w:rsidR="00CC2050">
        <w:rPr>
          <w:rFonts w:ascii="Times New Roman" w:hAnsi="Times New Roman"/>
          <w:color w:val="000000" w:themeColor="text1"/>
          <w:sz w:val="24"/>
          <w:szCs w:val="24"/>
        </w:rPr>
        <w:t>negative</w:t>
      </w:r>
      <w:r w:rsidR="00780D45">
        <w:rPr>
          <w:rFonts w:ascii="Times New Roman" w:hAnsi="Times New Roman"/>
          <w:color w:val="000000" w:themeColor="text1"/>
          <w:sz w:val="24"/>
          <w:szCs w:val="24"/>
        </w:rPr>
        <w:t xml:space="preserve"> towards </w:t>
      </w:r>
      <w:r w:rsidR="00CC2050">
        <w:rPr>
          <w:rFonts w:ascii="Times New Roman" w:hAnsi="Times New Roman"/>
          <w:color w:val="000000" w:themeColor="text1"/>
          <w:sz w:val="24"/>
          <w:szCs w:val="24"/>
        </w:rPr>
        <w:t xml:space="preserve">pact. While the pact was a way to extend the military and security dealings </w:t>
      </w:r>
      <w:r w:rsidR="003C307A">
        <w:rPr>
          <w:rFonts w:ascii="Times New Roman" w:hAnsi="Times New Roman"/>
          <w:color w:val="000000" w:themeColor="text1"/>
          <w:sz w:val="24"/>
          <w:szCs w:val="24"/>
        </w:rPr>
        <w:t>to Israel</w:t>
      </w:r>
      <w:r w:rsidR="00CC2050">
        <w:rPr>
          <w:rFonts w:ascii="Times New Roman" w:hAnsi="Times New Roman"/>
          <w:color w:val="000000" w:themeColor="text1"/>
          <w:sz w:val="24"/>
          <w:szCs w:val="24"/>
        </w:rPr>
        <w:t>, However,</w:t>
      </w:r>
      <w:r w:rsidR="00780D45">
        <w:rPr>
          <w:rFonts w:ascii="Times New Roman" w:hAnsi="Times New Roman"/>
          <w:color w:val="000000" w:themeColor="text1"/>
          <w:sz w:val="24"/>
          <w:szCs w:val="24"/>
        </w:rPr>
        <w:t xml:space="preserve"> </w:t>
      </w:r>
      <w:r w:rsidR="00CC2050">
        <w:rPr>
          <w:rFonts w:ascii="Times New Roman" w:hAnsi="Times New Roman"/>
          <w:color w:val="000000" w:themeColor="text1"/>
          <w:sz w:val="24"/>
          <w:szCs w:val="24"/>
        </w:rPr>
        <w:t>t</w:t>
      </w:r>
      <w:r w:rsidR="000018F0">
        <w:rPr>
          <w:rFonts w:ascii="Times New Roman" w:hAnsi="Times New Roman"/>
          <w:color w:val="000000" w:themeColor="text1"/>
          <w:sz w:val="24"/>
          <w:szCs w:val="24"/>
        </w:rPr>
        <w:t xml:space="preserve">his Pact provided a complete context to </w:t>
      </w:r>
      <w:r w:rsidR="00915CD7">
        <w:rPr>
          <w:rFonts w:ascii="Times New Roman" w:hAnsi="Times New Roman"/>
          <w:color w:val="000000" w:themeColor="text1"/>
          <w:sz w:val="24"/>
          <w:szCs w:val="24"/>
        </w:rPr>
        <w:t>make a program for the military and economic assistance</w:t>
      </w:r>
      <w:r>
        <w:rPr>
          <w:rStyle w:val="FootnoteReference"/>
          <w:rFonts w:ascii="Times New Roman" w:hAnsi="Times New Roman"/>
          <w:color w:val="000000" w:themeColor="text1"/>
          <w:sz w:val="24"/>
          <w:szCs w:val="24"/>
        </w:rPr>
        <w:footnoteReference w:id="1"/>
      </w:r>
      <w:r w:rsidR="00705D75">
        <w:rPr>
          <w:rFonts w:ascii="Times New Roman" w:hAnsi="Times New Roman"/>
          <w:color w:val="000000" w:themeColor="text1"/>
          <w:sz w:val="24"/>
          <w:szCs w:val="24"/>
        </w:rPr>
        <w:t xml:space="preserve">. </w:t>
      </w:r>
      <w:r w:rsidR="003C307A">
        <w:rPr>
          <w:rFonts w:ascii="Times New Roman" w:hAnsi="Times New Roman"/>
          <w:color w:val="000000" w:themeColor="text1"/>
          <w:sz w:val="24"/>
          <w:szCs w:val="24"/>
        </w:rPr>
        <w:t>Cemal Abdul Naseer took the pact as a threat because he was ruling the country and allowing the pact to happen would result in loss of the leadership in the region and let turkey control the region.</w:t>
      </w:r>
      <w:r w:rsidR="00370481">
        <w:rPr>
          <w:rFonts w:ascii="Times New Roman" w:hAnsi="Times New Roman"/>
          <w:color w:val="000000" w:themeColor="text1"/>
          <w:sz w:val="24"/>
          <w:szCs w:val="24"/>
        </w:rPr>
        <w:t xml:space="preserve"> Naseer was not accepting and he did not want Iraq to play a prominent role in the Baghdad Pact</w:t>
      </w:r>
      <w:r w:rsidR="00593114">
        <w:rPr>
          <w:rFonts w:ascii="Times New Roman" w:hAnsi="Times New Roman"/>
          <w:color w:val="000000" w:themeColor="text1"/>
          <w:sz w:val="24"/>
          <w:szCs w:val="24"/>
        </w:rPr>
        <w:t xml:space="preserve">. </w:t>
      </w:r>
      <w:r w:rsidR="00370481">
        <w:rPr>
          <w:rFonts w:ascii="Times New Roman" w:hAnsi="Times New Roman"/>
          <w:color w:val="000000" w:themeColor="text1"/>
          <w:sz w:val="24"/>
          <w:szCs w:val="24"/>
        </w:rPr>
        <w:t xml:space="preserve">While </w:t>
      </w:r>
      <w:r w:rsidR="00270529">
        <w:rPr>
          <w:rFonts w:ascii="Times New Roman" w:hAnsi="Times New Roman"/>
          <w:color w:val="000000" w:themeColor="text1"/>
          <w:sz w:val="24"/>
          <w:szCs w:val="24"/>
        </w:rPr>
        <w:t xml:space="preserve">Israel also </w:t>
      </w:r>
      <w:r w:rsidR="00370481">
        <w:rPr>
          <w:rFonts w:ascii="Times New Roman" w:hAnsi="Times New Roman"/>
          <w:color w:val="000000" w:themeColor="text1"/>
          <w:sz w:val="24"/>
          <w:szCs w:val="24"/>
        </w:rPr>
        <w:t>feared</w:t>
      </w:r>
      <w:r w:rsidR="00270529">
        <w:rPr>
          <w:rFonts w:ascii="Times New Roman" w:hAnsi="Times New Roman"/>
          <w:color w:val="000000" w:themeColor="text1"/>
          <w:sz w:val="24"/>
          <w:szCs w:val="24"/>
        </w:rPr>
        <w:t xml:space="preserve"> the control </w:t>
      </w:r>
      <w:r w:rsidR="00370481">
        <w:rPr>
          <w:rFonts w:ascii="Times New Roman" w:hAnsi="Times New Roman"/>
          <w:color w:val="000000" w:themeColor="text1"/>
          <w:sz w:val="24"/>
          <w:szCs w:val="24"/>
        </w:rPr>
        <w:t>by Britain and the efforts to turn the pact into the Middle Eastern advantages</w:t>
      </w:r>
      <w:r w:rsidR="00270529">
        <w:rPr>
          <w:rFonts w:ascii="Times New Roman" w:hAnsi="Times New Roman"/>
          <w:color w:val="000000" w:themeColor="text1"/>
          <w:sz w:val="24"/>
          <w:szCs w:val="24"/>
        </w:rPr>
        <w:t xml:space="preserve"> </w:t>
      </w:r>
      <w:r w:rsidR="00370481">
        <w:rPr>
          <w:rFonts w:ascii="Times New Roman" w:hAnsi="Times New Roman"/>
          <w:color w:val="000000" w:themeColor="text1"/>
          <w:sz w:val="24"/>
          <w:szCs w:val="24"/>
        </w:rPr>
        <w:t>which are going to be monitored by Britain.</w:t>
      </w:r>
    </w:p>
    <w:p w:rsidR="00C4109B" w:rsidRDefault="007465A1" w:rsidP="00593114">
      <w:pPr>
        <w:spacing w:after="0" w:line="480" w:lineRule="auto"/>
        <w:ind w:firstLine="720"/>
        <w:jc w:val="center"/>
        <w:rPr>
          <w:rFonts w:ascii="Times New Roman" w:hAnsi="Times New Roman"/>
          <w:b/>
          <w:color w:val="000000" w:themeColor="text1"/>
          <w:sz w:val="24"/>
          <w:szCs w:val="24"/>
        </w:rPr>
      </w:pPr>
      <w:r w:rsidRPr="00593114">
        <w:rPr>
          <w:rFonts w:ascii="Times New Roman" w:hAnsi="Times New Roman"/>
          <w:b/>
          <w:color w:val="000000" w:themeColor="text1"/>
          <w:sz w:val="24"/>
          <w:szCs w:val="24"/>
        </w:rPr>
        <w:t xml:space="preserve">Affects of Baghdad Pact </w:t>
      </w:r>
      <w:r w:rsidR="006059A4">
        <w:rPr>
          <w:rFonts w:ascii="Times New Roman" w:hAnsi="Times New Roman"/>
          <w:b/>
          <w:color w:val="000000" w:themeColor="text1"/>
          <w:sz w:val="24"/>
          <w:szCs w:val="24"/>
        </w:rPr>
        <w:t>and the International Relations of the Middle East</w:t>
      </w:r>
    </w:p>
    <w:p w:rsidR="00593114" w:rsidRDefault="00565CAF" w:rsidP="00593114">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F</w:t>
      </w:r>
      <w:r w:rsidR="006059A4">
        <w:rPr>
          <w:rFonts w:ascii="Times New Roman" w:hAnsi="Times New Roman"/>
          <w:color w:val="000000" w:themeColor="text1"/>
          <w:sz w:val="24"/>
          <w:szCs w:val="24"/>
        </w:rPr>
        <w:t>oe</w:t>
      </w:r>
      <w:r w:rsidR="007465A1">
        <w:rPr>
          <w:rFonts w:ascii="Times New Roman" w:hAnsi="Times New Roman"/>
          <w:color w:val="000000" w:themeColor="text1"/>
          <w:sz w:val="24"/>
          <w:szCs w:val="24"/>
        </w:rPr>
        <w:t xml:space="preserve"> security and defence</w:t>
      </w:r>
      <w:r w:rsidR="006059A4">
        <w:rPr>
          <w:rFonts w:ascii="Times New Roman" w:hAnsi="Times New Roman"/>
          <w:color w:val="000000" w:themeColor="text1"/>
          <w:sz w:val="24"/>
          <w:szCs w:val="24"/>
        </w:rPr>
        <w:t xml:space="preserve"> purpose of the </w:t>
      </w:r>
      <w:bookmarkStart w:id="0" w:name="_GoBack"/>
      <w:bookmarkEnd w:id="0"/>
      <w:r w:rsidR="006059A4">
        <w:rPr>
          <w:rFonts w:ascii="Times New Roman" w:hAnsi="Times New Roman"/>
          <w:color w:val="000000" w:themeColor="text1"/>
          <w:sz w:val="24"/>
          <w:szCs w:val="24"/>
        </w:rPr>
        <w:t>county</w:t>
      </w:r>
      <w:r w:rsidR="007465A1">
        <w:rPr>
          <w:rFonts w:ascii="Times New Roman" w:hAnsi="Times New Roman"/>
          <w:color w:val="000000" w:themeColor="text1"/>
          <w:sz w:val="24"/>
          <w:szCs w:val="24"/>
        </w:rPr>
        <w:t xml:space="preserve"> by connecting Britain with Iraq, Pakistan, Turkey, and Iran </w:t>
      </w:r>
      <w:r>
        <w:rPr>
          <w:rFonts w:ascii="Times New Roman" w:hAnsi="Times New Roman"/>
          <w:color w:val="000000" w:themeColor="text1"/>
          <w:sz w:val="24"/>
          <w:szCs w:val="24"/>
        </w:rPr>
        <w:t xml:space="preserve">Baghdad Pact was formed </w:t>
      </w:r>
      <w:r w:rsidR="007465A1">
        <w:rPr>
          <w:rFonts w:ascii="Times New Roman" w:hAnsi="Times New Roman"/>
          <w:color w:val="000000" w:themeColor="text1"/>
          <w:sz w:val="24"/>
          <w:szCs w:val="24"/>
        </w:rPr>
        <w:t>and this is occupied by the historiographical muddle</w:t>
      </w:r>
      <w:r w:rsidR="007465A1">
        <w:rPr>
          <w:rStyle w:val="FootnoteReference"/>
          <w:rFonts w:ascii="Times New Roman" w:hAnsi="Times New Roman"/>
          <w:color w:val="000000" w:themeColor="text1"/>
          <w:sz w:val="24"/>
          <w:szCs w:val="24"/>
        </w:rPr>
        <w:footnoteReference w:id="2"/>
      </w:r>
      <w:r w:rsidR="007465A1">
        <w:rPr>
          <w:rFonts w:ascii="Times New Roman" w:hAnsi="Times New Roman"/>
          <w:color w:val="000000" w:themeColor="text1"/>
          <w:sz w:val="24"/>
          <w:szCs w:val="24"/>
        </w:rPr>
        <w:t xml:space="preserve">. In the beginning, the United States was not </w:t>
      </w:r>
      <w:r>
        <w:rPr>
          <w:rFonts w:ascii="Times New Roman" w:hAnsi="Times New Roman"/>
          <w:color w:val="000000" w:themeColor="text1"/>
          <w:sz w:val="24"/>
          <w:szCs w:val="24"/>
        </w:rPr>
        <w:t>prepared</w:t>
      </w:r>
      <w:r w:rsidR="007465A1">
        <w:rPr>
          <w:rFonts w:ascii="Times New Roman" w:hAnsi="Times New Roman"/>
          <w:color w:val="000000" w:themeColor="text1"/>
          <w:sz w:val="24"/>
          <w:szCs w:val="24"/>
        </w:rPr>
        <w:t xml:space="preserve"> to </w:t>
      </w:r>
      <w:r w:rsidR="00C4287F">
        <w:rPr>
          <w:rFonts w:ascii="Times New Roman" w:hAnsi="Times New Roman"/>
          <w:color w:val="000000" w:themeColor="text1"/>
          <w:sz w:val="24"/>
          <w:szCs w:val="24"/>
        </w:rPr>
        <w:t xml:space="preserve">be part of </w:t>
      </w:r>
      <w:r w:rsidR="007465A1">
        <w:rPr>
          <w:rFonts w:ascii="Times New Roman" w:hAnsi="Times New Roman"/>
          <w:color w:val="000000" w:themeColor="text1"/>
          <w:sz w:val="24"/>
          <w:szCs w:val="24"/>
        </w:rPr>
        <w:t>the pact because of the incident of the cold war in which Arab states and Israel were involved. However, the United States was functioning the treaty as an observer and signed agreements individually with each country of the pact. Baghdad Pact was moved to the headquarters in Turkey after the removal from Iraq.</w:t>
      </w:r>
    </w:p>
    <w:p w:rsidR="00A15B6C" w:rsidRDefault="007465A1" w:rsidP="00593114">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tensions </w:t>
      </w:r>
      <w:r w:rsidR="00C4287F">
        <w:rPr>
          <w:rFonts w:ascii="Times New Roman" w:hAnsi="Times New Roman"/>
          <w:color w:val="000000" w:themeColor="text1"/>
          <w:sz w:val="24"/>
          <w:szCs w:val="24"/>
        </w:rPr>
        <w:t>of</w:t>
      </w:r>
      <w:r>
        <w:rPr>
          <w:rFonts w:ascii="Times New Roman" w:hAnsi="Times New Roman"/>
          <w:color w:val="000000" w:themeColor="text1"/>
          <w:sz w:val="24"/>
          <w:szCs w:val="24"/>
        </w:rPr>
        <w:t xml:space="preserve"> Pakistan and India were increasing and Pakistan expected the Baghdad Pact to resolve the tensions and conflicts between them but the Pact denied to solve the conflicts between India and Pakistan. CENTO did not support Pakistan while Pakistan was looking for an </w:t>
      </w:r>
      <w:r>
        <w:rPr>
          <w:rFonts w:ascii="Times New Roman" w:hAnsi="Times New Roman"/>
          <w:color w:val="000000" w:themeColor="text1"/>
          <w:sz w:val="24"/>
          <w:szCs w:val="24"/>
        </w:rPr>
        <w:lastRenderedPageBreak/>
        <w:t xml:space="preserve">equalizer against India. The war between Pakistan and India, and Arab-Israel conflicts weakened the economy of South Asian and the Middle East and they became unstable regions during the 1960s. CENTO was showing reluctance to get involved in these disputes. Pakistan was continuously asking for help but CENTO reviewed their concerns and mentioned that they would have supported if it was USSR but cannot help if it India. However, Pakistan left this pact in 1979 and the same year, the Iranian revolution became the reason for the end of CENTO. </w:t>
      </w:r>
    </w:p>
    <w:p w:rsidR="00A15B6C" w:rsidRDefault="007465A1" w:rsidP="00593114">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In 1956 the control over the Suez Canal was taken by a leader of Egypt named Jamal Abdel Nasir, and the Suez Canal was an important water channel on the international level. Them the Sinai Peninsula was invaded by the Israel and British and French alliances interfered. The consequence was that the British lost their rule over the region and the place of British in the Baghdad Pact was not the same as before. This pact was thought to get accepted by all the countries in the Middle East, but it was rejected by few countries and resulted in three division of Middle East</w:t>
      </w:r>
      <w:r>
        <w:rPr>
          <w:rStyle w:val="FootnoteReference"/>
          <w:rFonts w:ascii="Times New Roman" w:hAnsi="Times New Roman"/>
          <w:color w:val="000000" w:themeColor="text1"/>
          <w:sz w:val="24"/>
          <w:szCs w:val="24"/>
        </w:rPr>
        <w:footnoteReference w:id="3"/>
      </w:r>
      <w:r>
        <w:rPr>
          <w:rFonts w:ascii="Times New Roman" w:hAnsi="Times New Roman"/>
          <w:color w:val="000000" w:themeColor="text1"/>
          <w:sz w:val="24"/>
          <w:szCs w:val="24"/>
        </w:rPr>
        <w:t xml:space="preserve"> and it is considered that Baghdad Pact was the reason for the exploitation of the slogan of Islam which is unity. </w:t>
      </w:r>
    </w:p>
    <w:p w:rsidR="00A15B6C" w:rsidRPr="00A15B6C" w:rsidRDefault="007465A1" w:rsidP="00A15B6C">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ab/>
        <w:t>However, this pact was created to fill the power gaps and create the linkages between the Middle East countries but it turned to be objected by few countries and it resulted in the division of the Middle Eastern countries.</w:t>
      </w: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Default="00593114" w:rsidP="00593114">
      <w:pPr>
        <w:spacing w:after="0" w:line="480" w:lineRule="auto"/>
        <w:ind w:firstLine="720"/>
        <w:rPr>
          <w:rFonts w:ascii="Times New Roman" w:hAnsi="Times New Roman"/>
          <w:b/>
          <w:color w:val="000000" w:themeColor="text1"/>
          <w:sz w:val="24"/>
          <w:szCs w:val="24"/>
        </w:rPr>
      </w:pPr>
    </w:p>
    <w:p w:rsidR="00593114" w:rsidRPr="00593114" w:rsidRDefault="00593114" w:rsidP="00593114">
      <w:pPr>
        <w:spacing w:after="0" w:line="480" w:lineRule="auto"/>
        <w:ind w:firstLine="720"/>
        <w:rPr>
          <w:rFonts w:ascii="Times New Roman" w:hAnsi="Times New Roman"/>
          <w:b/>
          <w:color w:val="000000" w:themeColor="text1"/>
          <w:sz w:val="24"/>
          <w:szCs w:val="24"/>
        </w:rPr>
      </w:pPr>
    </w:p>
    <w:p w:rsidR="00BF2515" w:rsidRDefault="00BF2515">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p w:rsidR="00593114" w:rsidRDefault="00593114">
      <w:pPr>
        <w:spacing w:after="0" w:line="240" w:lineRule="auto"/>
        <w:rPr>
          <w:rFonts w:ascii="Times New Roman" w:hAnsi="Times New Roman"/>
          <w:iCs/>
          <w:color w:val="000000" w:themeColor="text1"/>
          <w:sz w:val="24"/>
          <w:szCs w:val="24"/>
        </w:rPr>
      </w:pPr>
    </w:p>
    <w:sdt>
      <w:sdtPr>
        <w:rPr>
          <w:rFonts w:ascii="Times New Roman" w:eastAsia="Calibri" w:hAnsi="Times New Roman" w:cs="Times New Roman"/>
          <w:color w:val="000000" w:themeColor="text1"/>
          <w:sz w:val="24"/>
          <w:szCs w:val="24"/>
        </w:rPr>
        <w:id w:val="-1421405391"/>
        <w:docPartObj>
          <w:docPartGallery w:val="Bibliographies"/>
          <w:docPartUnique/>
        </w:docPartObj>
      </w:sdtPr>
      <w:sdtEndPr/>
      <w:sdtContent>
        <w:p w:rsidR="00BF2515" w:rsidRPr="00BF2515" w:rsidRDefault="007465A1" w:rsidP="00BF2515">
          <w:pPr>
            <w:pStyle w:val="Heading1"/>
            <w:spacing w:before="0" w:line="480" w:lineRule="auto"/>
            <w:rPr>
              <w:rFonts w:ascii="Times New Roman" w:hAnsi="Times New Roman" w:cs="Times New Roman"/>
              <w:b/>
              <w:color w:val="000000" w:themeColor="text1"/>
              <w:sz w:val="24"/>
              <w:szCs w:val="24"/>
            </w:rPr>
          </w:pPr>
          <w:r w:rsidRPr="00BF2515">
            <w:rPr>
              <w:rFonts w:ascii="Times New Roman" w:hAnsi="Times New Roman" w:cs="Times New Roman"/>
              <w:b/>
              <w:color w:val="000000" w:themeColor="text1"/>
              <w:sz w:val="24"/>
              <w:szCs w:val="24"/>
            </w:rPr>
            <w:t>Bibliography</w:t>
          </w:r>
        </w:p>
        <w:sdt>
          <w:sdtPr>
            <w:rPr>
              <w:color w:val="000000" w:themeColor="text1"/>
            </w:rPr>
            <w:id w:val="111145805"/>
            <w:bibliography/>
          </w:sdtPr>
          <w:sdtEndPr>
            <w:rPr>
              <w:rFonts w:ascii="Times New Roman" w:hAnsi="Times New Roman"/>
              <w:sz w:val="24"/>
              <w:szCs w:val="24"/>
            </w:rPr>
          </w:sdtEndPr>
          <w:sdtContent>
            <w:p w:rsidR="00A15B6C" w:rsidRPr="00A15B6C" w:rsidRDefault="007465A1" w:rsidP="00A15B6C">
              <w:pPr>
                <w:pStyle w:val="Bibliography"/>
                <w:rPr>
                  <w:rFonts w:ascii="Times New Roman" w:hAnsi="Times New Roman"/>
                  <w:sz w:val="24"/>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A15B6C">
                <w:rPr>
                  <w:rFonts w:ascii="Times New Roman" w:hAnsi="Times New Roman"/>
                  <w:sz w:val="24"/>
                </w:rPr>
                <w:t xml:space="preserve">Ashton, Nigel John. “The Hijacking of a Pact: The Formation of the Baghdad Pact and Anglo-American Tensions in the Middle East, 1955—1958.” </w:t>
              </w:r>
              <w:r w:rsidRPr="00A15B6C">
                <w:rPr>
                  <w:rFonts w:ascii="Times New Roman" w:hAnsi="Times New Roman"/>
                  <w:i/>
                  <w:iCs/>
                  <w:sz w:val="24"/>
                </w:rPr>
                <w:t>Review of International Studies</w:t>
              </w:r>
              <w:r w:rsidRPr="00A15B6C">
                <w:rPr>
                  <w:rFonts w:ascii="Times New Roman" w:hAnsi="Times New Roman"/>
                  <w:sz w:val="24"/>
                </w:rPr>
                <w:t xml:space="preserve"> 19, no. 2 (1993): 123–37.</w:t>
              </w:r>
            </w:p>
            <w:p w:rsidR="00A15B6C" w:rsidRPr="00A15B6C" w:rsidRDefault="007465A1" w:rsidP="00A15B6C">
              <w:pPr>
                <w:pStyle w:val="Bibliography"/>
                <w:rPr>
                  <w:rFonts w:ascii="Times New Roman" w:hAnsi="Times New Roman"/>
                  <w:sz w:val="24"/>
                </w:rPr>
              </w:pPr>
              <w:r w:rsidRPr="00A15B6C">
                <w:rPr>
                  <w:rFonts w:ascii="Times New Roman" w:hAnsi="Times New Roman"/>
                  <w:sz w:val="24"/>
                </w:rPr>
                <w:t xml:space="preserve">Jabeen, Mussarat, and Muhammad Saleem Mazhar. “Security Game: SEATO and CENTO as Instrument of Economic and Military Assistance to Encircle Pakistan.” </w:t>
              </w:r>
              <w:r w:rsidRPr="00A15B6C">
                <w:rPr>
                  <w:rFonts w:ascii="Times New Roman" w:hAnsi="Times New Roman"/>
                  <w:i/>
                  <w:iCs/>
                  <w:sz w:val="24"/>
                </w:rPr>
                <w:t>Pakistan Economic and Social Review</w:t>
              </w:r>
              <w:r w:rsidRPr="00A15B6C">
                <w:rPr>
                  <w:rFonts w:ascii="Times New Roman" w:hAnsi="Times New Roman"/>
                  <w:sz w:val="24"/>
                </w:rPr>
                <w:t>, 2011, 109–32.</w:t>
              </w:r>
            </w:p>
            <w:p w:rsidR="00A15B6C" w:rsidRPr="00A15B6C" w:rsidRDefault="007465A1" w:rsidP="00A15B6C">
              <w:pPr>
                <w:pStyle w:val="Bibliography"/>
                <w:rPr>
                  <w:rFonts w:ascii="Times New Roman" w:hAnsi="Times New Roman"/>
                  <w:sz w:val="24"/>
                </w:rPr>
              </w:pPr>
              <w:r w:rsidRPr="00A15B6C">
                <w:rPr>
                  <w:rFonts w:ascii="Times New Roman" w:hAnsi="Times New Roman"/>
                  <w:sz w:val="24"/>
                </w:rPr>
                <w:t xml:space="preserve">Lefebvre, Jeffrey A. “Baghdad Pact (1955–79).” </w:t>
              </w:r>
              <w:r w:rsidRPr="00A15B6C">
                <w:rPr>
                  <w:rFonts w:ascii="Times New Roman" w:hAnsi="Times New Roman"/>
                  <w:i/>
                  <w:iCs/>
                  <w:sz w:val="24"/>
                </w:rPr>
                <w:t>The Encyclopedia of Diplomacy</w:t>
              </w:r>
              <w:r w:rsidRPr="00A15B6C">
                <w:rPr>
                  <w:rFonts w:ascii="Times New Roman" w:hAnsi="Times New Roman"/>
                  <w:sz w:val="24"/>
                </w:rPr>
                <w:t>, n.d., 1–5.</w:t>
              </w:r>
            </w:p>
            <w:p w:rsidR="00A15B6C" w:rsidRPr="00A15B6C" w:rsidRDefault="007465A1" w:rsidP="00A15B6C">
              <w:pPr>
                <w:pStyle w:val="Bibliography"/>
                <w:rPr>
                  <w:rFonts w:ascii="Times New Roman" w:hAnsi="Times New Roman"/>
                  <w:sz w:val="24"/>
                </w:rPr>
              </w:pPr>
              <w:r w:rsidRPr="00A15B6C">
                <w:rPr>
                  <w:rFonts w:ascii="Times New Roman" w:hAnsi="Times New Roman"/>
                  <w:sz w:val="24"/>
                </w:rPr>
                <w:t xml:space="preserve">Yıldırım, Özgür. “THE ATTITUDE OF EGYPT TOWARDS BAGHDAD PACT.” </w:t>
              </w:r>
              <w:r w:rsidRPr="00A15B6C">
                <w:rPr>
                  <w:rFonts w:ascii="Times New Roman" w:hAnsi="Times New Roman"/>
                  <w:i/>
                  <w:iCs/>
                  <w:sz w:val="24"/>
                </w:rPr>
                <w:t>Tarih ve Günce</w:t>
              </w:r>
              <w:r w:rsidRPr="00A15B6C">
                <w:rPr>
                  <w:rFonts w:ascii="Times New Roman" w:hAnsi="Times New Roman"/>
                  <w:sz w:val="24"/>
                </w:rPr>
                <w:t xml:space="preserve"> 1, no. 3 (n.d.): 125–46.</w:t>
              </w:r>
            </w:p>
            <w:p w:rsidR="00210AE7" w:rsidRDefault="007465A1" w:rsidP="00210AE7">
              <w:pPr>
                <w:pStyle w:val="Bibliography"/>
                <w:spacing w:line="480" w:lineRule="auto"/>
              </w:pPr>
              <w:r>
                <w:rPr>
                  <w:rFonts w:ascii="Times New Roman" w:hAnsi="Times New Roman"/>
                  <w:color w:val="000000" w:themeColor="text1"/>
                  <w:sz w:val="24"/>
                  <w:szCs w:val="24"/>
                </w:rPr>
                <w:fldChar w:fldCharType="end"/>
              </w:r>
            </w:p>
            <w:p w:rsidR="00BF2515" w:rsidRPr="00BF2515" w:rsidRDefault="00A72E12" w:rsidP="00BF2515">
              <w:pPr>
                <w:spacing w:after="0" w:line="480" w:lineRule="auto"/>
                <w:rPr>
                  <w:rFonts w:ascii="Times New Roman" w:hAnsi="Times New Roman"/>
                  <w:color w:val="000000" w:themeColor="text1"/>
                  <w:sz w:val="24"/>
                  <w:szCs w:val="24"/>
                </w:rPr>
              </w:pPr>
            </w:p>
          </w:sdtContent>
        </w:sdt>
      </w:sdtContent>
    </w:sdt>
    <w:p w:rsidR="00CA39C0" w:rsidRPr="00BF2515" w:rsidRDefault="00CA39C0" w:rsidP="00BF2515">
      <w:pPr>
        <w:spacing w:line="480" w:lineRule="auto"/>
        <w:ind w:firstLine="720"/>
        <w:rPr>
          <w:rFonts w:ascii="Times New Roman" w:hAnsi="Times New Roman"/>
          <w:iCs/>
          <w:color w:val="000000" w:themeColor="text1"/>
          <w:sz w:val="24"/>
          <w:szCs w:val="24"/>
        </w:rPr>
      </w:pPr>
    </w:p>
    <w:sectPr w:rsidR="00CA39C0" w:rsidRPr="00BF251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12" w:rsidRDefault="00A72E12">
      <w:pPr>
        <w:spacing w:after="0" w:line="240" w:lineRule="auto"/>
      </w:pPr>
      <w:r>
        <w:separator/>
      </w:r>
    </w:p>
  </w:endnote>
  <w:endnote w:type="continuationSeparator" w:id="0">
    <w:p w:rsidR="00A72E12" w:rsidRDefault="00A7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12" w:rsidRDefault="00A72E12" w:rsidP="00CF4875">
      <w:pPr>
        <w:spacing w:after="0" w:line="240" w:lineRule="auto"/>
      </w:pPr>
      <w:r>
        <w:separator/>
      </w:r>
    </w:p>
  </w:footnote>
  <w:footnote w:type="continuationSeparator" w:id="0">
    <w:p w:rsidR="00A72E12" w:rsidRDefault="00A72E12" w:rsidP="00CF4875">
      <w:pPr>
        <w:spacing w:after="0" w:line="240" w:lineRule="auto"/>
      </w:pPr>
      <w:r>
        <w:continuationSeparator/>
      </w:r>
    </w:p>
  </w:footnote>
  <w:footnote w:id="1">
    <w:p w:rsidR="00705D75" w:rsidRDefault="007465A1">
      <w:pPr>
        <w:pStyle w:val="FootnoteText"/>
      </w:pPr>
      <w:r>
        <w:rPr>
          <w:rStyle w:val="FootnoteReference"/>
        </w:rPr>
        <w:footnoteRef/>
      </w:r>
      <w:r>
        <w:t xml:space="preserve"> </w:t>
      </w:r>
      <w:r>
        <w:fldChar w:fldCharType="begin"/>
      </w:r>
      <w:r w:rsidR="00A15B6C">
        <w:instrText xml:space="preserve"> ADDIN ZOTERO_ITEM CSL_CITATION {"citationID":"0cYPnT0Q","properties":{"formattedCitation":"Mussarat Jabeen and Muhammad Saleem Mazhar, \\uc0\\u8220{}Security Game: SEATO and CENTO as Instrument of Economic and Military Assistance to Encircle Pakistan,\\uc0\\u8221{} {\\i{}Pakistan Economic and Social Review}, 2011, 109\\uc0\\u8211{}32.","plainCitation":"Mussarat Jabeen and Muhammad Saleem Mazhar, “Security Game: SEATO and CENTO as Instrument of Economic and Military Assistance to Encircle Pakistan,” Pakistan Economic and Social Review, 2011, 109–32.","noteIndex":2},"citationItems":[{"id":"PWfynSpM/csz3Ez2J","uris":["http://zotero.org/users/local/F0XOCTdk/items/QP3SKKIF"],"uri":["http://zotero.org/users/local/F0XOCTdk/items/QP3SKKIF"],"itemData":{"id":329,"type":"article-journal","title":"Security game: SEATO and CENTO as instrument of economic and military assistance to encircle Pakistan","container-title":"Pakistan Economic and Social Review","page":"109-132","author":[{"family":"Jabeen","given":"Mussarat"},{"family":"Mazhar","given":"Muhammad Saleem"}],"issued":{"date-parts":[["2011"]]}}}],"schema":"https://github.com/citation-style-language/schema/raw/master/csl-citation.json"} </w:instrText>
      </w:r>
      <w:r>
        <w:fldChar w:fldCharType="separate"/>
      </w:r>
      <w:r w:rsidRPr="00705D75">
        <w:rPr>
          <w:szCs w:val="24"/>
        </w:rPr>
        <w:t xml:space="preserve">Mussarat Jabeen and Muhammad Saleem Mazhar, “Security Game: SEATO and CENTO as Instrument of Economic and Military Assistance to Encircle Pakistan,” </w:t>
      </w:r>
      <w:r w:rsidRPr="00705D75">
        <w:rPr>
          <w:i/>
          <w:iCs/>
          <w:szCs w:val="24"/>
        </w:rPr>
        <w:t>Pakistan Economic and Social Review</w:t>
      </w:r>
      <w:r w:rsidRPr="00705D75">
        <w:rPr>
          <w:szCs w:val="24"/>
        </w:rPr>
        <w:t>, 2011, 109–32.</w:t>
      </w:r>
      <w:r>
        <w:fldChar w:fldCharType="end"/>
      </w:r>
    </w:p>
  </w:footnote>
  <w:footnote w:id="2">
    <w:p w:rsidR="00A15B6C" w:rsidRDefault="007465A1">
      <w:pPr>
        <w:pStyle w:val="FootnoteText"/>
      </w:pPr>
      <w:r>
        <w:rPr>
          <w:rStyle w:val="FootnoteReference"/>
        </w:rPr>
        <w:footnoteRef/>
      </w:r>
      <w:r>
        <w:t xml:space="preserve"> </w:t>
      </w:r>
      <w:r>
        <w:fldChar w:fldCharType="begin"/>
      </w:r>
      <w:r>
        <w:instrText xml:space="preserve"> ADDIN ZOTERO_ITEM CSL_CITATION {"citationID":"XCrRVTlF","properties":{"formattedCitation":"Nigel John Ashton, \\uc0\\u8220{}The Hijacking of a Pact: The Formation of the Baghdad Pact and Anglo-American Tensions in the Middle East, 1955\\uc0\\u8212{}1958,\\uc0\\u8221{} {\\i{}Review of International Studies} 19, no. 2 (1993): 123\\uc0\\u8211{}37.","plainCitation":"Nigel John Ashton, “The Hijacking of a Pact: The Formation of the Baghdad Pact and Anglo-American Tensions in the Middle East, 1955—1958,” Review of International Studies 19, no. 2 (1993): 123–37.","noteIndex":3},"citationItems":[{"id":105,"uris":["http://zotero.org/users/local/smYQhi21/items/NBXSIFDN"],"uri":["http://zotero.org/users/local/smYQhi21/items/NBXSIFDN"],"itemData":{"id":105,"type":"article-journal","title":"The hijacking of a pact: the formation of the Baghdad Pact and Anglo-American tensions in the Middle East, 1955—1958","container-title":"Review of International Studies","page":"123-137","volume":"19","issue":"2","author":[{"family":"Ashton","given":"Nigel John"}],"issued":{"date-parts":[["1993"]]}}}],"schema":"https://github.com/citation-style-language/schema/raw/master/csl-citation.json"} </w:instrText>
      </w:r>
      <w:r>
        <w:fldChar w:fldCharType="separate"/>
      </w:r>
      <w:r w:rsidRPr="00A15B6C">
        <w:rPr>
          <w:szCs w:val="24"/>
        </w:rPr>
        <w:t xml:space="preserve">Nigel John Ashton, “The Hijacking of a Pact: The Formation of the Baghdad Pact and Anglo-American Tensions in the Middle East, 1955—1958,” </w:t>
      </w:r>
      <w:r w:rsidRPr="00A15B6C">
        <w:rPr>
          <w:i/>
          <w:iCs/>
          <w:szCs w:val="24"/>
        </w:rPr>
        <w:t>Review of International Studies</w:t>
      </w:r>
      <w:r w:rsidRPr="00A15B6C">
        <w:rPr>
          <w:szCs w:val="24"/>
        </w:rPr>
        <w:t xml:space="preserve"> 19, no. 2 (1993): 123–37.</w:t>
      </w:r>
      <w:r>
        <w:fldChar w:fldCharType="end"/>
      </w:r>
    </w:p>
  </w:footnote>
  <w:footnote w:id="3">
    <w:p w:rsidR="00A15B6C" w:rsidRDefault="007465A1">
      <w:pPr>
        <w:pStyle w:val="FootnoteText"/>
      </w:pPr>
      <w:r>
        <w:rPr>
          <w:rStyle w:val="FootnoteReference"/>
        </w:rPr>
        <w:footnoteRef/>
      </w:r>
      <w:r>
        <w:t xml:space="preserve"> </w:t>
      </w:r>
      <w:r>
        <w:fldChar w:fldCharType="begin"/>
      </w:r>
      <w:r>
        <w:instrText xml:space="preserve"> ADDIN ZOTERO_ITEM CSL_CITATION {"citationID":"jES9QwVt","properties":{"formattedCitation":"\\uc0\\u214{}zg\\uc0\\u252{}r Y\\uc0\\u305{}ld\\uc0\\u305{}r\\uc0\\u305{}m, \\uc0\\u8220{}THE ATTITUDE OF EGYPT TOWARDS BAGHDAD PACT,\\uc0\\u8221{} {\\i{}Tarih ve G\\uc0\\u252{}nce} 1, no. 3 (n.d.): 125\\uc0\\u8211{}46.","plainCitation":"Özgür Yıldırım, “THE ATTITUDE OF EGYPT TOWARDS BAGHDAD PACT,” Tarih ve Günce 1, no. 3 (n.d.): 125–46.","noteIndex":4},"citationItems":[{"id":106,"uris":["http://zotero.org/users/local/smYQhi21/items/JY7PS6FR"],"uri":["http://zotero.org/users/local/smYQhi21/items/JY7PS6FR"],"itemData":{"id":106,"type":"article-journal","title":"THE ATTITUDE OF EGYPT TOWARDS BAGHDAD PACT","container-title":"Tarih ve Günce","page":"125-146","volume":"1","issue":"3","author":[{"family":"Yıldırım","given":"Özgür"}]}}],"schema":"https://github.com/citation-style-language/schema/raw/master/csl-citation.json"} </w:instrText>
      </w:r>
      <w:r>
        <w:fldChar w:fldCharType="separate"/>
      </w:r>
      <w:r w:rsidRPr="00A15B6C">
        <w:rPr>
          <w:szCs w:val="24"/>
        </w:rPr>
        <w:t xml:space="preserve">Özgür Yıldırım, “THE ATTITUDE OF EGYPT TOWARDS BAGHDAD PACT,” </w:t>
      </w:r>
      <w:r w:rsidRPr="00A15B6C">
        <w:rPr>
          <w:i/>
          <w:iCs/>
          <w:szCs w:val="24"/>
        </w:rPr>
        <w:t>Tarih ve Günce</w:t>
      </w:r>
      <w:r w:rsidRPr="00A15B6C">
        <w:rPr>
          <w:szCs w:val="24"/>
        </w:rPr>
        <w:t xml:space="preserve"> 1, no. 3 (n.d.): 125–46.</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7465A1">
    <w:pPr>
      <w:pStyle w:val="Header"/>
      <w:jc w:val="right"/>
      <w:rPr>
        <w:rFonts w:ascii="Times" w:hAnsi="Times" w:cs="Times"/>
        <w:sz w:val="24"/>
        <w:szCs w:val="24"/>
      </w:rPr>
    </w:pPr>
    <w:r w:rsidRPr="00A26D13">
      <w:rPr>
        <w:rFonts w:ascii="Times" w:hAnsi="Times" w:cs="Times"/>
        <w:sz w:val="24"/>
        <w:szCs w:val="24"/>
      </w:rPr>
      <w:t>Jabbour</w:t>
    </w:r>
    <w:r w:rsidRPr="00CF4875">
      <w:rPr>
        <w:rFonts w:ascii="Times" w:hAnsi="Times" w:cs="Times"/>
        <w:sz w:val="24"/>
        <w:szCs w:val="24"/>
      </w:rPr>
      <w:t xml:space="preserv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6059A4">
      <w:rPr>
        <w:rFonts w:ascii="Times" w:hAnsi="Times" w:cs="Times"/>
        <w:noProof/>
        <w:sz w:val="24"/>
        <w:szCs w:val="24"/>
      </w:rPr>
      <w:t>4</w:t>
    </w:r>
    <w:r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1FCC5B6C">
      <w:start w:val="1"/>
      <w:numFmt w:val="decimal"/>
      <w:lvlText w:val="%1."/>
      <w:lvlJc w:val="left"/>
      <w:pPr>
        <w:ind w:left="720" w:hanging="360"/>
      </w:pPr>
      <w:rPr>
        <w:rFonts w:hint="default"/>
      </w:rPr>
    </w:lvl>
    <w:lvl w:ilvl="1" w:tplc="C63A201A" w:tentative="1">
      <w:start w:val="1"/>
      <w:numFmt w:val="lowerLetter"/>
      <w:lvlText w:val="%2."/>
      <w:lvlJc w:val="left"/>
      <w:pPr>
        <w:ind w:left="1440" w:hanging="360"/>
      </w:pPr>
    </w:lvl>
    <w:lvl w:ilvl="2" w:tplc="EEE431F8" w:tentative="1">
      <w:start w:val="1"/>
      <w:numFmt w:val="lowerRoman"/>
      <w:lvlText w:val="%3."/>
      <w:lvlJc w:val="right"/>
      <w:pPr>
        <w:ind w:left="2160" w:hanging="180"/>
      </w:pPr>
    </w:lvl>
    <w:lvl w:ilvl="3" w:tplc="62CA594E" w:tentative="1">
      <w:start w:val="1"/>
      <w:numFmt w:val="decimal"/>
      <w:lvlText w:val="%4."/>
      <w:lvlJc w:val="left"/>
      <w:pPr>
        <w:ind w:left="2880" w:hanging="360"/>
      </w:pPr>
    </w:lvl>
    <w:lvl w:ilvl="4" w:tplc="75B0422A" w:tentative="1">
      <w:start w:val="1"/>
      <w:numFmt w:val="lowerLetter"/>
      <w:lvlText w:val="%5."/>
      <w:lvlJc w:val="left"/>
      <w:pPr>
        <w:ind w:left="3600" w:hanging="360"/>
      </w:pPr>
    </w:lvl>
    <w:lvl w:ilvl="5" w:tplc="97DE9722" w:tentative="1">
      <w:start w:val="1"/>
      <w:numFmt w:val="lowerRoman"/>
      <w:lvlText w:val="%6."/>
      <w:lvlJc w:val="right"/>
      <w:pPr>
        <w:ind w:left="4320" w:hanging="180"/>
      </w:pPr>
    </w:lvl>
    <w:lvl w:ilvl="6" w:tplc="9B604D42" w:tentative="1">
      <w:start w:val="1"/>
      <w:numFmt w:val="decimal"/>
      <w:lvlText w:val="%7."/>
      <w:lvlJc w:val="left"/>
      <w:pPr>
        <w:ind w:left="5040" w:hanging="360"/>
      </w:pPr>
    </w:lvl>
    <w:lvl w:ilvl="7" w:tplc="690EADC2" w:tentative="1">
      <w:start w:val="1"/>
      <w:numFmt w:val="lowerLetter"/>
      <w:lvlText w:val="%8."/>
      <w:lvlJc w:val="left"/>
      <w:pPr>
        <w:ind w:left="5760" w:hanging="360"/>
      </w:pPr>
    </w:lvl>
    <w:lvl w:ilvl="8" w:tplc="5A4A539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8F0"/>
    <w:rsid w:val="00001A42"/>
    <w:rsid w:val="00003136"/>
    <w:rsid w:val="00024271"/>
    <w:rsid w:val="00040B6B"/>
    <w:rsid w:val="00064A77"/>
    <w:rsid w:val="0008191D"/>
    <w:rsid w:val="0011037C"/>
    <w:rsid w:val="001173F2"/>
    <w:rsid w:val="00125F6D"/>
    <w:rsid w:val="001303BA"/>
    <w:rsid w:val="00132C17"/>
    <w:rsid w:val="001338B7"/>
    <w:rsid w:val="00150004"/>
    <w:rsid w:val="00151795"/>
    <w:rsid w:val="001615A7"/>
    <w:rsid w:val="00166CE0"/>
    <w:rsid w:val="00175AFE"/>
    <w:rsid w:val="00190115"/>
    <w:rsid w:val="001911D3"/>
    <w:rsid w:val="001A0328"/>
    <w:rsid w:val="001A3E43"/>
    <w:rsid w:val="001A7D25"/>
    <w:rsid w:val="001B125E"/>
    <w:rsid w:val="001B7374"/>
    <w:rsid w:val="001C3F29"/>
    <w:rsid w:val="001D1B94"/>
    <w:rsid w:val="001D5112"/>
    <w:rsid w:val="001F0653"/>
    <w:rsid w:val="001F4BF8"/>
    <w:rsid w:val="002074DB"/>
    <w:rsid w:val="00210AE7"/>
    <w:rsid w:val="00226580"/>
    <w:rsid w:val="002439E5"/>
    <w:rsid w:val="002559E7"/>
    <w:rsid w:val="0026407C"/>
    <w:rsid w:val="00270529"/>
    <w:rsid w:val="00275C03"/>
    <w:rsid w:val="00276B95"/>
    <w:rsid w:val="00287560"/>
    <w:rsid w:val="00292B1A"/>
    <w:rsid w:val="002A6767"/>
    <w:rsid w:val="002B0B11"/>
    <w:rsid w:val="002C08CF"/>
    <w:rsid w:val="002E6E72"/>
    <w:rsid w:val="002F6FCA"/>
    <w:rsid w:val="003118A8"/>
    <w:rsid w:val="00314F1E"/>
    <w:rsid w:val="00315E90"/>
    <w:rsid w:val="00320746"/>
    <w:rsid w:val="003213E8"/>
    <w:rsid w:val="003421A7"/>
    <w:rsid w:val="00370481"/>
    <w:rsid w:val="00371C4A"/>
    <w:rsid w:val="00372754"/>
    <w:rsid w:val="003772F5"/>
    <w:rsid w:val="0038242A"/>
    <w:rsid w:val="003930BD"/>
    <w:rsid w:val="003963E1"/>
    <w:rsid w:val="003B380B"/>
    <w:rsid w:val="003C307A"/>
    <w:rsid w:val="003D73BC"/>
    <w:rsid w:val="003E469C"/>
    <w:rsid w:val="003F53B8"/>
    <w:rsid w:val="00413522"/>
    <w:rsid w:val="00434569"/>
    <w:rsid w:val="00441715"/>
    <w:rsid w:val="004612A7"/>
    <w:rsid w:val="00465448"/>
    <w:rsid w:val="00475458"/>
    <w:rsid w:val="00476D5C"/>
    <w:rsid w:val="00484CA2"/>
    <w:rsid w:val="004A219E"/>
    <w:rsid w:val="004D4F9F"/>
    <w:rsid w:val="004E2265"/>
    <w:rsid w:val="004E30D9"/>
    <w:rsid w:val="004F7606"/>
    <w:rsid w:val="0050679D"/>
    <w:rsid w:val="00513984"/>
    <w:rsid w:val="00525454"/>
    <w:rsid w:val="00541553"/>
    <w:rsid w:val="0054495C"/>
    <w:rsid w:val="00545127"/>
    <w:rsid w:val="00550CF7"/>
    <w:rsid w:val="00565CAF"/>
    <w:rsid w:val="00593114"/>
    <w:rsid w:val="00597F02"/>
    <w:rsid w:val="005F3742"/>
    <w:rsid w:val="006059A4"/>
    <w:rsid w:val="00630CF4"/>
    <w:rsid w:val="00661129"/>
    <w:rsid w:val="006618E9"/>
    <w:rsid w:val="00684C86"/>
    <w:rsid w:val="006C7DE3"/>
    <w:rsid w:val="006D472F"/>
    <w:rsid w:val="00700875"/>
    <w:rsid w:val="00705D75"/>
    <w:rsid w:val="00720428"/>
    <w:rsid w:val="0074123A"/>
    <w:rsid w:val="007465A1"/>
    <w:rsid w:val="00780D45"/>
    <w:rsid w:val="0079345E"/>
    <w:rsid w:val="00795DF6"/>
    <w:rsid w:val="00796864"/>
    <w:rsid w:val="007A2291"/>
    <w:rsid w:val="007A7471"/>
    <w:rsid w:val="007B0F74"/>
    <w:rsid w:val="007D3BB8"/>
    <w:rsid w:val="007F747E"/>
    <w:rsid w:val="007F7C6F"/>
    <w:rsid w:val="00804CA6"/>
    <w:rsid w:val="00811CF1"/>
    <w:rsid w:val="00826D83"/>
    <w:rsid w:val="00877C6E"/>
    <w:rsid w:val="008A23B0"/>
    <w:rsid w:val="008C44C3"/>
    <w:rsid w:val="008F11CA"/>
    <w:rsid w:val="00911BD0"/>
    <w:rsid w:val="00915CD7"/>
    <w:rsid w:val="00925607"/>
    <w:rsid w:val="009350FB"/>
    <w:rsid w:val="00951FD2"/>
    <w:rsid w:val="00962ABF"/>
    <w:rsid w:val="009E20DB"/>
    <w:rsid w:val="009E5E3F"/>
    <w:rsid w:val="009E710A"/>
    <w:rsid w:val="009F68CF"/>
    <w:rsid w:val="00A063BB"/>
    <w:rsid w:val="00A15B6C"/>
    <w:rsid w:val="00A26D13"/>
    <w:rsid w:val="00A27BD7"/>
    <w:rsid w:val="00A31CD9"/>
    <w:rsid w:val="00A52154"/>
    <w:rsid w:val="00A6522C"/>
    <w:rsid w:val="00A674D4"/>
    <w:rsid w:val="00A72E12"/>
    <w:rsid w:val="00A73D2A"/>
    <w:rsid w:val="00A76BE1"/>
    <w:rsid w:val="00A8421E"/>
    <w:rsid w:val="00A875B1"/>
    <w:rsid w:val="00A90F5F"/>
    <w:rsid w:val="00AA0345"/>
    <w:rsid w:val="00AA22E7"/>
    <w:rsid w:val="00AE3773"/>
    <w:rsid w:val="00AF4146"/>
    <w:rsid w:val="00B10097"/>
    <w:rsid w:val="00B3289C"/>
    <w:rsid w:val="00B37A56"/>
    <w:rsid w:val="00B677B5"/>
    <w:rsid w:val="00B862C7"/>
    <w:rsid w:val="00B86B2A"/>
    <w:rsid w:val="00BA0CB1"/>
    <w:rsid w:val="00BA3BA7"/>
    <w:rsid w:val="00BA4E7F"/>
    <w:rsid w:val="00BD617F"/>
    <w:rsid w:val="00BE784E"/>
    <w:rsid w:val="00BF2515"/>
    <w:rsid w:val="00C32FFD"/>
    <w:rsid w:val="00C4109B"/>
    <w:rsid w:val="00C4287F"/>
    <w:rsid w:val="00C55AE0"/>
    <w:rsid w:val="00C766DD"/>
    <w:rsid w:val="00C7705C"/>
    <w:rsid w:val="00C94B42"/>
    <w:rsid w:val="00CA39C0"/>
    <w:rsid w:val="00CA4F3C"/>
    <w:rsid w:val="00CC2050"/>
    <w:rsid w:val="00CD3996"/>
    <w:rsid w:val="00CF4875"/>
    <w:rsid w:val="00D05437"/>
    <w:rsid w:val="00D54DB3"/>
    <w:rsid w:val="00D65451"/>
    <w:rsid w:val="00D6664A"/>
    <w:rsid w:val="00D8267D"/>
    <w:rsid w:val="00DA20BC"/>
    <w:rsid w:val="00DC3AAC"/>
    <w:rsid w:val="00DC5D0D"/>
    <w:rsid w:val="00DD0C78"/>
    <w:rsid w:val="00E418C6"/>
    <w:rsid w:val="00E82EA3"/>
    <w:rsid w:val="00E907AA"/>
    <w:rsid w:val="00EC1D88"/>
    <w:rsid w:val="00ED2FC7"/>
    <w:rsid w:val="00ED4C3A"/>
    <w:rsid w:val="00EE1060"/>
    <w:rsid w:val="00F12BF6"/>
    <w:rsid w:val="00F13C3D"/>
    <w:rsid w:val="00F169DB"/>
    <w:rsid w:val="00F30C3E"/>
    <w:rsid w:val="00F45746"/>
    <w:rsid w:val="00FB2C5F"/>
    <w:rsid w:val="00FB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4B3EF-F685-4050-A7F1-760F9214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9AAEEFAA-88BC-40CA-9A4D-09CA35DF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Night</cp:lastModifiedBy>
  <cp:revision>2</cp:revision>
  <dcterms:created xsi:type="dcterms:W3CDTF">2019-10-30T03:04:00Z</dcterms:created>
  <dcterms:modified xsi:type="dcterms:W3CDTF">2019-10-30T03:04:00Z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id="PWfynSpM"/&gt;&lt;style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