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5E2F7A7F" w:rsidR="006E2EA2" w:rsidRPr="009F0041" w:rsidRDefault="00AF34E9" w:rsidP="009F0041">
      <w:pPr>
        <w:spacing w:line="480" w:lineRule="auto"/>
        <w:rPr>
          <w:i/>
        </w:rPr>
      </w:pPr>
      <w:r w:rsidRPr="009F0041">
        <w:t xml:space="preserve">RUNNING HEAD: </w:t>
      </w:r>
      <w:r w:rsidR="005E40FA">
        <w:t xml:space="preserve"> </w:t>
      </w:r>
      <w:r w:rsidR="008C62A3">
        <w:t xml:space="preserve">INDIGENOUS AUSTRALIANS </w:t>
      </w:r>
    </w:p>
    <w:p w14:paraId="188D1C3B" w14:textId="77777777" w:rsidR="006E2EA2" w:rsidRPr="009F0041" w:rsidRDefault="006E2EA2" w:rsidP="009F0041">
      <w:pPr>
        <w:spacing w:line="480" w:lineRule="auto"/>
      </w:pPr>
    </w:p>
    <w:p w14:paraId="7880C6B7" w14:textId="77777777" w:rsidR="006E2EA2" w:rsidRPr="009F0041" w:rsidRDefault="006E2EA2" w:rsidP="009F0041">
      <w:pPr>
        <w:spacing w:line="480" w:lineRule="auto"/>
      </w:pPr>
    </w:p>
    <w:p w14:paraId="7F545F06" w14:textId="77777777" w:rsidR="006E2EA2" w:rsidRPr="009F0041" w:rsidRDefault="006E2EA2" w:rsidP="009F0041">
      <w:pPr>
        <w:spacing w:line="480" w:lineRule="auto"/>
      </w:pPr>
    </w:p>
    <w:p w14:paraId="62CE75D1" w14:textId="77777777" w:rsidR="006E2EA2" w:rsidRPr="009F0041" w:rsidRDefault="006E2EA2" w:rsidP="009F0041">
      <w:pPr>
        <w:spacing w:line="480" w:lineRule="auto"/>
      </w:pPr>
    </w:p>
    <w:p w14:paraId="0C124611" w14:textId="77777777" w:rsidR="007838B8" w:rsidRPr="009F0041" w:rsidRDefault="007838B8" w:rsidP="009F0041">
      <w:pPr>
        <w:spacing w:line="480" w:lineRule="auto"/>
      </w:pPr>
    </w:p>
    <w:p w14:paraId="3416BD2A" w14:textId="77777777" w:rsidR="006E2EA2" w:rsidRPr="009F0041" w:rsidRDefault="006E2EA2" w:rsidP="009F0041">
      <w:pPr>
        <w:spacing w:line="480" w:lineRule="auto"/>
      </w:pPr>
    </w:p>
    <w:p w14:paraId="6763B691" w14:textId="77777777" w:rsidR="006E2EA2" w:rsidRPr="009F0041" w:rsidRDefault="006E2EA2" w:rsidP="009F0041">
      <w:pPr>
        <w:spacing w:line="480" w:lineRule="auto"/>
      </w:pPr>
    </w:p>
    <w:p w14:paraId="529942FF" w14:textId="77777777" w:rsidR="00B819C5" w:rsidRDefault="00B819C5" w:rsidP="009F0041">
      <w:pPr>
        <w:tabs>
          <w:tab w:val="left" w:pos="4136"/>
        </w:tabs>
        <w:spacing w:line="480" w:lineRule="auto"/>
        <w:jc w:val="center"/>
      </w:pPr>
    </w:p>
    <w:p w14:paraId="5CAC1EDB" w14:textId="4223F68C" w:rsidR="00B819C5" w:rsidRDefault="00B819C5" w:rsidP="009F0041">
      <w:pPr>
        <w:tabs>
          <w:tab w:val="left" w:pos="4136"/>
        </w:tabs>
        <w:spacing w:line="480" w:lineRule="auto"/>
        <w:jc w:val="center"/>
      </w:pPr>
      <w:r w:rsidRPr="00B819C5">
        <w:t>Assignment 1 a</w:t>
      </w:r>
    </w:p>
    <w:p w14:paraId="31A2F1D6" w14:textId="55525960" w:rsidR="005B02B5" w:rsidRPr="009F0041" w:rsidRDefault="00B10C88" w:rsidP="009F0041">
      <w:pPr>
        <w:tabs>
          <w:tab w:val="left" w:pos="4136"/>
        </w:tabs>
        <w:spacing w:line="480" w:lineRule="auto"/>
        <w:jc w:val="center"/>
      </w:pPr>
      <w:r w:rsidRPr="009F0041">
        <w:t>Name of Student</w:t>
      </w:r>
    </w:p>
    <w:p w14:paraId="53246A7E" w14:textId="77777777" w:rsidR="006E2EA2" w:rsidRPr="009F0041" w:rsidRDefault="00AF34E9" w:rsidP="009F0041">
      <w:pPr>
        <w:tabs>
          <w:tab w:val="left" w:pos="4136"/>
        </w:tabs>
        <w:spacing w:line="480" w:lineRule="auto"/>
        <w:jc w:val="center"/>
      </w:pPr>
      <w:r w:rsidRPr="009F0041">
        <w:t>[Name of the Institution]</w:t>
      </w:r>
    </w:p>
    <w:p w14:paraId="3716561D" w14:textId="2EC54E5A" w:rsidR="000F759D" w:rsidRPr="009F0041" w:rsidRDefault="00AF34E9" w:rsidP="009F0041">
      <w:pPr>
        <w:pStyle w:val="Title"/>
      </w:pPr>
      <w:r w:rsidRPr="009F0041">
        <w:br w:type="page"/>
      </w:r>
    </w:p>
    <w:p w14:paraId="6EF2776A" w14:textId="0651999C" w:rsidR="009E40B5" w:rsidRPr="009F0041" w:rsidRDefault="005E40FA" w:rsidP="005E40FA">
      <w:pPr>
        <w:spacing w:line="480" w:lineRule="auto"/>
        <w:jc w:val="center"/>
      </w:pPr>
      <w:r w:rsidRPr="005E40FA">
        <w:lastRenderedPageBreak/>
        <w:t>Assignment 1 a</w:t>
      </w:r>
    </w:p>
    <w:p w14:paraId="4B74D341" w14:textId="77777777" w:rsidR="009F0041" w:rsidRPr="009F0041" w:rsidRDefault="009F0041" w:rsidP="009F0041">
      <w:pPr>
        <w:spacing w:line="480" w:lineRule="auto"/>
      </w:pPr>
    </w:p>
    <w:p w14:paraId="5BD9493E" w14:textId="77777777" w:rsidR="009F0041" w:rsidRPr="009F0041" w:rsidRDefault="009F0041" w:rsidP="009F0041">
      <w:pPr>
        <w:spacing w:line="480" w:lineRule="auto"/>
        <w:rPr>
          <w:b/>
          <w:i/>
        </w:rPr>
      </w:pPr>
      <w:r w:rsidRPr="009F0041">
        <w:rPr>
          <w:b/>
          <w:i/>
        </w:rPr>
        <w:t>Indigenous experience and knowledge:</w:t>
      </w:r>
    </w:p>
    <w:p w14:paraId="64ECD96F" w14:textId="58BE4FB8" w:rsidR="009F0041" w:rsidRDefault="009F0041" w:rsidP="009F0041">
      <w:pPr>
        <w:spacing w:line="480" w:lineRule="auto"/>
      </w:pPr>
      <w:r w:rsidRPr="009F0041">
        <w:t xml:space="preserve"> </w:t>
      </w:r>
      <w:r w:rsidRPr="009F0041">
        <w:tab/>
        <w:t>Indigenousness is a constructed identity that has been shaped by contemporary colonialism.  The people</w:t>
      </w:r>
      <w:r w:rsidR="00881DE9">
        <w:t>, c</w:t>
      </w:r>
      <w:r w:rsidRPr="009F0041">
        <w:t>ommunities, tribes or the nation that is considered to be indigenous belong to the land that they inhabit. They have the characteristic that contrasts the colonial societies that have spread as wide</w:t>
      </w:r>
      <w:r>
        <w:t xml:space="preserve"> as to the European continent. </w:t>
      </w:r>
      <w:r w:rsidRPr="009F0041">
        <w:t>These group</w:t>
      </w:r>
      <w:r w:rsidR="00680FAE">
        <w:t xml:space="preserve">s are characterized by different </w:t>
      </w:r>
      <w:r w:rsidR="00680FAE" w:rsidRPr="009F0041">
        <w:t>cultural</w:t>
      </w:r>
      <w:r w:rsidRPr="009F0041">
        <w:t xml:space="preserve"> and traditional</w:t>
      </w:r>
      <w:r w:rsidR="00680FAE">
        <w:t xml:space="preserve"> values.</w:t>
      </w:r>
      <w:r w:rsidR="00680FAE" w:rsidRPr="009F0041">
        <w:t xml:space="preserve"> The</w:t>
      </w:r>
      <w:r w:rsidRPr="009F0041">
        <w:t xml:space="preserve"> lifestyle of these people is impacted by environmental changes and the demonstrated diversity in a socio-economic organization, religion, and </w:t>
      </w:r>
      <w:r w:rsidR="00C978D7" w:rsidRPr="009F0041">
        <w:t>c</w:t>
      </w:r>
      <w:r w:rsidR="00C978D7">
        <w:t>ulture.</w:t>
      </w:r>
      <w:r w:rsidR="00103EAF">
        <w:t xml:space="preserve"> </w:t>
      </w:r>
      <w:r w:rsidR="00C978D7" w:rsidRPr="009F0041">
        <w:t>These</w:t>
      </w:r>
      <w:r w:rsidRPr="009F0041">
        <w:t xml:space="preserve"> people think that being indigenous is a mindset and they considered themselves the true owner of the land </w:t>
      </w:r>
      <w:r w:rsidR="00C978D7">
        <w:fldChar w:fldCharType="begin"/>
      </w:r>
      <w:r w:rsidR="00C978D7">
        <w:instrText xml:space="preserve"> ADDIN ZOTERO_ITEM CSL_CITATION {"citationID":"ppghJwzB","properties":{"formattedCitation":"(Mundy and Compton, 1991)","plainCitation":"(Mundy and Compton, 1991)","noteIndex":0},"citationItems":[{"id":495,"uris":["http://zotero.org/users/local/uHsb2Xzj/items/Y45JFG3T"],"uri":["http://zotero.org/users/local/uHsb2Xzj/items/Y45JFG3T"],"itemData":{"id":495,"type":"article-journal","title":"Indigenous communication and indigenous knowledge.","author":[{"family":"Mundy","given":"P."},{"family":"Compton,","given":"L."}],"issued":{"date-parts":[["1991"]]}}}],"schema":"https://github.com/citation-style-language/schema/raw/master/csl-citation.json"} </w:instrText>
      </w:r>
      <w:r w:rsidR="00C978D7">
        <w:fldChar w:fldCharType="separate"/>
      </w:r>
      <w:r w:rsidR="0039411B">
        <w:t xml:space="preserve">(Mundy  </w:t>
      </w:r>
      <w:r w:rsidR="0039411B" w:rsidRPr="0039411B">
        <w:t>&amp;</w:t>
      </w:r>
      <w:r w:rsidR="0039411B">
        <w:t xml:space="preserve"> Compton</w:t>
      </w:r>
      <w:r w:rsidR="00C978D7" w:rsidRPr="00C978D7">
        <w:t xml:space="preserve"> 1991)</w:t>
      </w:r>
      <w:r w:rsidR="00C978D7">
        <w:fldChar w:fldCharType="end"/>
      </w:r>
      <w:r w:rsidR="00C978D7">
        <w:t xml:space="preserve">.  </w:t>
      </w:r>
    </w:p>
    <w:p w14:paraId="39DBA731" w14:textId="6659F30B" w:rsidR="009F0041" w:rsidRPr="009F0041" w:rsidRDefault="009F0041" w:rsidP="009F0041">
      <w:pPr>
        <w:spacing w:line="480" w:lineRule="auto"/>
        <w:ind w:firstLine="720"/>
      </w:pPr>
      <w:r w:rsidRPr="009F0041">
        <w:t>The number of indigenous people is decreasing worldwide and the population was 300 million across approximately 70 countries.   Aboriginal Australians have been on the continent for more than 6000 years before the continent was in</w:t>
      </w:r>
      <w:r w:rsidR="0039411B">
        <w:t xml:space="preserve">vaded by the British (Mundy </w:t>
      </w:r>
      <w:r w:rsidR="0039411B" w:rsidRPr="0039411B">
        <w:t>&amp;</w:t>
      </w:r>
      <w:r w:rsidR="0039411B">
        <w:t xml:space="preserve"> Compton</w:t>
      </w:r>
      <w:r w:rsidRPr="009F0041">
        <w:t xml:space="preserve"> 1991).</w:t>
      </w:r>
    </w:p>
    <w:p w14:paraId="3AA9CA35" w14:textId="59194FED" w:rsidR="009F0041" w:rsidRPr="009F0041" w:rsidRDefault="009F0041" w:rsidP="009F0041">
      <w:pPr>
        <w:spacing w:line="480" w:lineRule="auto"/>
      </w:pPr>
      <w:r w:rsidRPr="009F0041">
        <w:t xml:space="preserve">  </w:t>
      </w:r>
      <w:r>
        <w:tab/>
      </w:r>
      <w:r w:rsidRPr="009F0041">
        <w:t>In the contemporary world the aboriginal experience various issue with marinating their identity, territory, and traditions. The</w:t>
      </w:r>
      <w:r w:rsidR="00E077C7">
        <w:t xml:space="preserve"> most common issue faced by aboriginals is of maintaining </w:t>
      </w:r>
      <w:r w:rsidR="00E077C7" w:rsidRPr="009F0041">
        <w:t>their</w:t>
      </w:r>
      <w:r w:rsidRPr="009F0041">
        <w:t xml:space="preserve"> territorial boundaries.  These people used have strong roots in the land before the invaders and they have a culturally and traditionally link with the landscapes.</w:t>
      </w:r>
      <w:r w:rsidR="00E077C7">
        <w:t xml:space="preserve"> </w:t>
      </w:r>
      <w:r w:rsidRPr="009F0041">
        <w:t>The lives of these people were mostly ba</w:t>
      </w:r>
      <w:r w:rsidR="00B668D7">
        <w:t>sed on land and water and still</w:t>
      </w:r>
      <w:r w:rsidRPr="009F0041">
        <w:t xml:space="preserve"> some </w:t>
      </w:r>
      <w:r w:rsidR="00103EAF" w:rsidRPr="009F0041">
        <w:t>c</w:t>
      </w:r>
      <w:r w:rsidR="00103EAF">
        <w:t xml:space="preserve">ommunities </w:t>
      </w:r>
      <w:r w:rsidR="00103EAF" w:rsidRPr="009F0041">
        <w:t>depende</w:t>
      </w:r>
      <w:r w:rsidR="00103EAF">
        <w:t>nt on</w:t>
      </w:r>
      <w:r w:rsidR="00CC500F">
        <w:t xml:space="preserve"> </w:t>
      </w:r>
      <w:r w:rsidRPr="009F0041">
        <w:t xml:space="preserve">water and land to run their livelihood.  The territorial </w:t>
      </w:r>
      <w:r w:rsidRPr="009F0041">
        <w:lastRenderedPageBreak/>
        <w:t>rights of these people are addressed by the political activists o</w:t>
      </w:r>
      <w:r w:rsidR="0039411B">
        <w:t xml:space="preserve">f the locality (De La Cadena </w:t>
      </w:r>
      <w:r w:rsidR="0039411B" w:rsidRPr="009F0041">
        <w:t>&amp;</w:t>
      </w:r>
      <w:r w:rsidR="0039411B">
        <w:t>Starn</w:t>
      </w:r>
      <w:bookmarkStart w:id="0" w:name="_GoBack"/>
      <w:bookmarkEnd w:id="0"/>
      <w:r w:rsidRPr="009F0041">
        <w:t xml:space="preserve"> 2007).  </w:t>
      </w:r>
    </w:p>
    <w:p w14:paraId="1EBF3111" w14:textId="423BC4EC" w:rsidR="009F0041" w:rsidRPr="009F0041" w:rsidRDefault="009F0041" w:rsidP="009F0041">
      <w:pPr>
        <w:spacing w:line="480" w:lineRule="auto"/>
        <w:ind w:firstLine="720"/>
      </w:pPr>
      <w:r w:rsidRPr="009F0041">
        <w:t xml:space="preserve">However, the problem with the territorial link is contacted with the issue of sovereignty and the issue of territorial integrity have also a negative effect on the social changes in the community. The community of indigenous people has been invoked by the discriminatory policies </w:t>
      </w:r>
      <w:r w:rsidR="0039411B">
        <w:t xml:space="preserve">of the country (De La Cadena &amp; Starn </w:t>
      </w:r>
      <w:r w:rsidRPr="009F0041">
        <w:t>2007).</w:t>
      </w:r>
    </w:p>
    <w:p w14:paraId="27CA1C8A" w14:textId="77777777" w:rsidR="009F0041" w:rsidRPr="009F0041" w:rsidRDefault="009F0041" w:rsidP="009F0041">
      <w:pPr>
        <w:spacing w:line="480" w:lineRule="auto"/>
        <w:rPr>
          <w:b/>
          <w:i/>
        </w:rPr>
      </w:pPr>
      <w:r w:rsidRPr="009F0041">
        <w:rPr>
          <w:b/>
          <w:i/>
        </w:rPr>
        <w:t>Colonialism:</w:t>
      </w:r>
    </w:p>
    <w:p w14:paraId="0FB598ED" w14:textId="336ED85A" w:rsidR="009F0041" w:rsidRPr="009F0041" w:rsidRDefault="009F0041" w:rsidP="009F0041">
      <w:pPr>
        <w:spacing w:line="480" w:lineRule="auto"/>
      </w:pPr>
      <w:r w:rsidRPr="009F0041">
        <w:t xml:space="preserve"> </w:t>
      </w:r>
      <w:r>
        <w:tab/>
      </w:r>
      <w:r w:rsidRPr="009F0041">
        <w:t>It is a type of domination of a certain group of people over the territory or the overall behavior</w:t>
      </w:r>
      <w:r w:rsidR="0039411B">
        <w:t xml:space="preserve"> of a group of people (Horvath </w:t>
      </w:r>
      <w:r w:rsidRPr="009F0041">
        <w:t xml:space="preserve">1972).  For me, it is a process of economic and cultural exploitation of a group of people by the dominant individuals.  It refers to the domination of a group over the less privileged ones in society.  There could be intergroup domination or the dominant factors could be external.  Like the domination of English over the rest of the European people is an example of intergroup domination and the British invasion of Australia and South Asia is the example of external domination. </w:t>
      </w:r>
    </w:p>
    <w:p w14:paraId="44B877D1" w14:textId="77777777" w:rsidR="009F0041" w:rsidRPr="009F0041" w:rsidRDefault="009F0041" w:rsidP="009F0041">
      <w:pPr>
        <w:spacing w:line="480" w:lineRule="auto"/>
        <w:rPr>
          <w:b/>
          <w:i/>
        </w:rPr>
      </w:pPr>
      <w:r w:rsidRPr="009F0041">
        <w:rPr>
          <w:b/>
          <w:i/>
        </w:rPr>
        <w:t>The impact of Colonialism on the contemporary society of Australian:</w:t>
      </w:r>
    </w:p>
    <w:p w14:paraId="74F22E43" w14:textId="77AF0E4B" w:rsidR="009F0041" w:rsidRPr="009F0041" w:rsidRDefault="009F0041" w:rsidP="009F0041">
      <w:pPr>
        <w:spacing w:line="480" w:lineRule="auto"/>
        <w:ind w:firstLine="720"/>
      </w:pPr>
      <w:r w:rsidRPr="009F0041">
        <w:t>The economic disparities of the indigenous community in contemporary time is a result of injustice done to them in the colonial era.  The dispassion of their lands, discrimination of basic rights and inhuman behavior of the colonial masters have marginalized these societies. Such actions have resulted in the poor health, poverty, and marginalization of the aboriginals in contemporary t</w:t>
      </w:r>
      <w:r w:rsidR="00103EAF">
        <w:t>ime</w:t>
      </w:r>
      <w:r w:rsidR="0039411B">
        <w:t xml:space="preserve"> (Dinnen &amp; Braithwaite </w:t>
      </w:r>
      <w:r w:rsidRPr="009F0041">
        <w:t>2009).</w:t>
      </w:r>
    </w:p>
    <w:p w14:paraId="09E5B7DB" w14:textId="252F2006" w:rsidR="009F0041" w:rsidRPr="00F471DB" w:rsidRDefault="00F471DB" w:rsidP="009F0041">
      <w:pPr>
        <w:spacing w:line="480" w:lineRule="auto"/>
        <w:rPr>
          <w:b/>
          <w:i/>
        </w:rPr>
      </w:pPr>
      <w:r w:rsidRPr="00F471DB">
        <w:rPr>
          <w:b/>
          <w:i/>
        </w:rPr>
        <w:t xml:space="preserve">The role </w:t>
      </w:r>
      <w:r w:rsidR="009F0041" w:rsidRPr="00F471DB">
        <w:rPr>
          <w:b/>
          <w:i/>
        </w:rPr>
        <w:t>it</w:t>
      </w:r>
      <w:r w:rsidRPr="00F471DB">
        <w:rPr>
          <w:b/>
          <w:i/>
        </w:rPr>
        <w:t xml:space="preserve"> has played in the shaping of </w:t>
      </w:r>
      <w:r w:rsidR="008C62A3" w:rsidRPr="00F471DB">
        <w:rPr>
          <w:b/>
          <w:i/>
        </w:rPr>
        <w:t>my own</w:t>
      </w:r>
      <w:r w:rsidRPr="00F471DB">
        <w:rPr>
          <w:b/>
          <w:i/>
        </w:rPr>
        <w:t xml:space="preserve"> identity:</w:t>
      </w:r>
    </w:p>
    <w:p w14:paraId="4CCAF53F" w14:textId="77777777" w:rsidR="009F0041" w:rsidRPr="009F0041" w:rsidRDefault="009F0041" w:rsidP="009F0041">
      <w:pPr>
        <w:spacing w:line="480" w:lineRule="auto"/>
      </w:pPr>
    </w:p>
    <w:p w14:paraId="212F3D91" w14:textId="77777777" w:rsidR="009F0041" w:rsidRPr="009F0041" w:rsidRDefault="009F0041" w:rsidP="00F471DB">
      <w:pPr>
        <w:spacing w:line="480" w:lineRule="auto"/>
        <w:ind w:firstLine="720"/>
      </w:pPr>
      <w:r w:rsidRPr="009F0041">
        <w:lastRenderedPageBreak/>
        <w:t xml:space="preserve"> Colonialism has impacted our psychology has it has suppressed our indigenous </w:t>
      </w:r>
    </w:p>
    <w:p w14:paraId="2C59A8B0" w14:textId="5790780F" w:rsidR="009F0041" w:rsidRPr="009F0041" w:rsidRDefault="00F471DB" w:rsidP="009F0041">
      <w:pPr>
        <w:spacing w:line="480" w:lineRule="auto"/>
      </w:pPr>
      <w:r>
        <w:t xml:space="preserve">    Cultural values.  </w:t>
      </w:r>
      <w:r w:rsidR="009F0041" w:rsidRPr="009F0041">
        <w:t xml:space="preserve">It has played a role to change my identity in a way that our local community used to live within a group and a kingship now these attributes are controlled by the state government and we no more share our specific traditional values. </w:t>
      </w:r>
    </w:p>
    <w:p w14:paraId="2239CFEA" w14:textId="5C5ACD4F" w:rsidR="009F0041" w:rsidRPr="00F471DB" w:rsidRDefault="009F0041" w:rsidP="009F0041">
      <w:pPr>
        <w:spacing w:line="480" w:lineRule="auto"/>
        <w:rPr>
          <w:b/>
          <w:i/>
        </w:rPr>
      </w:pPr>
      <w:r w:rsidRPr="00F471DB">
        <w:rPr>
          <w:b/>
          <w:i/>
        </w:rPr>
        <w:t xml:space="preserve">  The biggest issue faced by Indigenous Australians </w:t>
      </w:r>
    </w:p>
    <w:p w14:paraId="10AE42E3" w14:textId="03DA3461" w:rsidR="009F0041" w:rsidRPr="009F0041" w:rsidRDefault="009F0041" w:rsidP="009F0041">
      <w:pPr>
        <w:spacing w:line="480" w:lineRule="auto"/>
      </w:pPr>
      <w:r w:rsidRPr="009F0041">
        <w:t xml:space="preserve"> </w:t>
      </w:r>
      <w:r w:rsidR="00F471DB">
        <w:tab/>
      </w:r>
      <w:r w:rsidRPr="009F0041">
        <w:t>The biggest challenge faced by the Indigenous people of Austria is that they lack a basic human right. They don’t have access to basic education and health facilities. Because the majority of the population die of cancer, heart disease or they are having other chronic health issues.52 percent of the aboriginal people are not employed and they live I</w:t>
      </w:r>
      <w:r w:rsidR="0039411B">
        <w:t>N absolute poverty (Guenther &amp; McRae-Williams</w:t>
      </w:r>
      <w:r w:rsidRPr="009F0041">
        <w:t xml:space="preserve"> 2014). The policymakers need to ensure that these people will have access to the basic needs of a healthy life. </w:t>
      </w:r>
    </w:p>
    <w:p w14:paraId="0848B039" w14:textId="77777777" w:rsidR="009F0041" w:rsidRPr="009F0041" w:rsidRDefault="009F0041" w:rsidP="009F0041">
      <w:pPr>
        <w:spacing w:line="480" w:lineRule="auto"/>
      </w:pPr>
      <w:r w:rsidRPr="009F0041">
        <w:t xml:space="preserve"> </w:t>
      </w:r>
    </w:p>
    <w:p w14:paraId="679D1F32" w14:textId="77777777" w:rsidR="009F0041" w:rsidRPr="009F0041" w:rsidRDefault="009F0041" w:rsidP="009F0041">
      <w:pPr>
        <w:spacing w:line="480" w:lineRule="auto"/>
      </w:pPr>
    </w:p>
    <w:p w14:paraId="11C2AC9D" w14:textId="77777777" w:rsidR="009F0041" w:rsidRPr="009F0041" w:rsidRDefault="009F0041" w:rsidP="009F0041">
      <w:pPr>
        <w:spacing w:line="480" w:lineRule="auto"/>
      </w:pPr>
    </w:p>
    <w:p w14:paraId="7464C8A4" w14:textId="77777777" w:rsidR="009F0041" w:rsidRPr="009F0041" w:rsidRDefault="009F0041" w:rsidP="009F0041">
      <w:pPr>
        <w:spacing w:line="480" w:lineRule="auto"/>
      </w:pPr>
    </w:p>
    <w:p w14:paraId="597231F7" w14:textId="77777777" w:rsidR="009F0041" w:rsidRPr="009F0041" w:rsidRDefault="009F0041" w:rsidP="009F0041">
      <w:pPr>
        <w:spacing w:line="480" w:lineRule="auto"/>
      </w:pPr>
    </w:p>
    <w:p w14:paraId="0CF3AA46" w14:textId="77777777" w:rsidR="009F0041" w:rsidRPr="009F0041" w:rsidRDefault="009F0041" w:rsidP="009F0041">
      <w:pPr>
        <w:spacing w:line="480" w:lineRule="auto"/>
      </w:pPr>
    </w:p>
    <w:p w14:paraId="7AD7F53A" w14:textId="77777777" w:rsidR="009F0041" w:rsidRPr="009F0041" w:rsidRDefault="009F0041" w:rsidP="009F0041">
      <w:pPr>
        <w:spacing w:line="480" w:lineRule="auto"/>
      </w:pPr>
    </w:p>
    <w:p w14:paraId="49E79BF2" w14:textId="77777777" w:rsidR="009F0041" w:rsidRPr="009F0041" w:rsidRDefault="009F0041" w:rsidP="009F0041">
      <w:pPr>
        <w:spacing w:line="480" w:lineRule="auto"/>
      </w:pPr>
    </w:p>
    <w:p w14:paraId="55565FB7" w14:textId="77777777" w:rsidR="009F0041" w:rsidRPr="009F0041" w:rsidRDefault="009F0041" w:rsidP="009F0041">
      <w:pPr>
        <w:spacing w:line="480" w:lineRule="auto"/>
      </w:pPr>
    </w:p>
    <w:p w14:paraId="6DA2D049" w14:textId="77777777" w:rsidR="009F0041" w:rsidRPr="009F0041" w:rsidRDefault="009F0041" w:rsidP="009F0041">
      <w:pPr>
        <w:spacing w:line="480" w:lineRule="auto"/>
      </w:pPr>
    </w:p>
    <w:p w14:paraId="1A1D7470" w14:textId="77777777" w:rsidR="009F0041" w:rsidRPr="009F0041" w:rsidRDefault="009F0041" w:rsidP="009F0041">
      <w:pPr>
        <w:spacing w:line="480" w:lineRule="auto"/>
      </w:pPr>
    </w:p>
    <w:p w14:paraId="7708A029" w14:textId="77777777" w:rsidR="009F0041" w:rsidRPr="009F0041" w:rsidRDefault="009F0041" w:rsidP="009F0041">
      <w:pPr>
        <w:spacing w:line="480" w:lineRule="auto"/>
      </w:pPr>
    </w:p>
    <w:p w14:paraId="611CEC29" w14:textId="0BFAC787" w:rsidR="009F0041" w:rsidRPr="009F0041" w:rsidRDefault="005E40FA" w:rsidP="005E40FA">
      <w:pPr>
        <w:spacing w:line="480" w:lineRule="auto"/>
        <w:jc w:val="center"/>
      </w:pPr>
      <w:r>
        <w:lastRenderedPageBreak/>
        <w:t>Bibliography</w:t>
      </w:r>
    </w:p>
    <w:p w14:paraId="267AE938" w14:textId="77777777" w:rsidR="009F0041" w:rsidRPr="009F0041" w:rsidRDefault="009F0041" w:rsidP="005E40FA">
      <w:pPr>
        <w:spacing w:line="480" w:lineRule="auto"/>
      </w:pPr>
      <w:r w:rsidRPr="009F0041">
        <w:t>De La Cadena, M., Starn, O., 2007. Indigenous experience today. Berg.</w:t>
      </w:r>
    </w:p>
    <w:p w14:paraId="5451C2BD" w14:textId="77777777" w:rsidR="009F0041" w:rsidRPr="009F0041" w:rsidRDefault="009F0041" w:rsidP="005E40FA">
      <w:pPr>
        <w:spacing w:line="480" w:lineRule="auto"/>
      </w:pPr>
      <w:r w:rsidRPr="009F0041">
        <w:t>Dinnen, S., Braithwaite, J., 2009. Reinventing policing through the prism of the colonial kiap. Policing &amp; Society 19, 161–173.</w:t>
      </w:r>
    </w:p>
    <w:p w14:paraId="5FA8ABBE" w14:textId="77777777" w:rsidR="009F0041" w:rsidRPr="009F0041" w:rsidRDefault="009F0041" w:rsidP="005E40FA">
      <w:pPr>
        <w:spacing w:line="480" w:lineRule="auto"/>
      </w:pPr>
      <w:r w:rsidRPr="009F0041">
        <w:t>Guenther, J., McRae-Williams, E., 2014. Does education and training for remote Aboriginal and Torres Strait Islander lead to ‘real’jobs? Evidence from the 2011 Census, in: AVETRA 17th International Conference. Citeseer.</w:t>
      </w:r>
    </w:p>
    <w:p w14:paraId="64D1851E" w14:textId="77777777" w:rsidR="009F0041" w:rsidRPr="009F0041" w:rsidRDefault="009F0041" w:rsidP="005E40FA">
      <w:pPr>
        <w:spacing w:line="480" w:lineRule="auto"/>
      </w:pPr>
      <w:r w:rsidRPr="009F0041">
        <w:t>Horvath, R.J., 1972. A definition of colonialism. Current anthropology 13, 45–57.</w:t>
      </w:r>
    </w:p>
    <w:p w14:paraId="54ECBBB8" w14:textId="77777777" w:rsidR="009F0041" w:rsidRPr="009F0041" w:rsidRDefault="009F0041" w:rsidP="005E40FA">
      <w:pPr>
        <w:spacing w:line="480" w:lineRule="auto"/>
      </w:pPr>
      <w:r w:rsidRPr="009F0041">
        <w:t>Mundy, P., Compton, L., 1991. Indigenous communication and indigenous knowledge.</w:t>
      </w:r>
    </w:p>
    <w:p w14:paraId="1AAEE6BE" w14:textId="77777777" w:rsidR="00577513" w:rsidRPr="009F0041" w:rsidRDefault="00577513" w:rsidP="009F0041">
      <w:pPr>
        <w:spacing w:line="480" w:lineRule="auto"/>
      </w:pPr>
    </w:p>
    <w:sectPr w:rsidR="00577513" w:rsidRPr="009F0041"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3F758" w16cid:durableId="20D71114"/>
  <w16cid:commentId w16cid:paraId="41B9C738" w16cid:durableId="20D7112E"/>
  <w16cid:commentId w16cid:paraId="5E59B56F" w16cid:durableId="20D7114D"/>
  <w16cid:commentId w16cid:paraId="4D9C17BA" w16cid:durableId="20D71169"/>
  <w16cid:commentId w16cid:paraId="719B66B7" w16cid:durableId="20D71175"/>
  <w16cid:commentId w16cid:paraId="7F0E8208" w16cid:durableId="20D711A3"/>
  <w16cid:commentId w16cid:paraId="140C3F1F" w16cid:durableId="20D711D1"/>
  <w16cid:commentId w16cid:paraId="104B60FD" w16cid:durableId="20D711E8"/>
  <w16cid:commentId w16cid:paraId="6DF50CC9" w16cid:durableId="20D71208"/>
  <w16cid:commentId w16cid:paraId="3FCC13BF" w16cid:durableId="20D7121A"/>
  <w16cid:commentId w16cid:paraId="6245925D" w16cid:durableId="20D71241"/>
  <w16cid:commentId w16cid:paraId="2B38B6A6" w16cid:durableId="20D7125E"/>
  <w16cid:commentId w16cid:paraId="7BD267D5" w16cid:durableId="20D71277"/>
  <w16cid:commentId w16cid:paraId="754FD52A" w16cid:durableId="20D71288"/>
  <w16cid:commentId w16cid:paraId="1AF55F4A" w16cid:durableId="20D712A1"/>
  <w16cid:commentId w16cid:paraId="70F712DB" w16cid:durableId="20D71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0BCB1" w14:textId="77777777" w:rsidR="00ED422B" w:rsidRDefault="00ED422B">
      <w:r>
        <w:separator/>
      </w:r>
    </w:p>
  </w:endnote>
  <w:endnote w:type="continuationSeparator" w:id="0">
    <w:p w14:paraId="7C94AB64" w14:textId="77777777" w:rsidR="00ED422B" w:rsidRDefault="00ED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A575" w14:textId="77777777" w:rsidR="00ED422B" w:rsidRDefault="00ED422B">
      <w:r>
        <w:separator/>
      </w:r>
    </w:p>
  </w:footnote>
  <w:footnote w:type="continuationSeparator" w:id="0">
    <w:p w14:paraId="751665AE" w14:textId="77777777" w:rsidR="00ED422B" w:rsidRDefault="00ED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1D56405C" w:rsidR="00BC283E" w:rsidRPr="00050744" w:rsidRDefault="008C62A3" w:rsidP="008C62A3">
    <w:pPr>
      <w:pStyle w:val="Header"/>
      <w:jc w:val="center"/>
    </w:pPr>
    <w:r>
      <w:rPr>
        <w:rStyle w:val="PageNumber"/>
      </w:rPr>
      <w:t xml:space="preserve">                                                                                     </w:t>
    </w:r>
    <w:r w:rsidR="00B819C5">
      <w:rPr>
        <w:rStyle w:val="PageNumber"/>
      </w:rPr>
      <w:t>I</w:t>
    </w:r>
    <w:r w:rsidR="00387994">
      <w:rPr>
        <w:rStyle w:val="PageNumber"/>
      </w:rPr>
      <w:t>ndigenous</w:t>
    </w:r>
    <w:r w:rsidR="00B819C5">
      <w:rPr>
        <w:rStyle w:val="PageNumber"/>
      </w:rPr>
      <w:t xml:space="preserve"> A</w:t>
    </w:r>
    <w:r w:rsidR="00387994">
      <w:rPr>
        <w:rStyle w:val="PageNumber"/>
      </w:rPr>
      <w:t>ustra</w:t>
    </w:r>
    <w:r w:rsidR="00387994" w:rsidRPr="008C62A3">
      <w:rPr>
        <w:rStyle w:val="PageNumber"/>
      </w:rPr>
      <w:t>lians</w:t>
    </w:r>
    <w:r>
      <w:rPr>
        <w:rStyle w:val="PageNumber"/>
      </w:rPr>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9F3E1B">
      <w:rPr>
        <w:rStyle w:val="PageNumber"/>
        <w:noProof/>
      </w:rPr>
      <w:t>5</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03EAF"/>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87994"/>
    <w:rsid w:val="00393EF3"/>
    <w:rsid w:val="0039411B"/>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1D3"/>
    <w:rsid w:val="005B02B5"/>
    <w:rsid w:val="005C1AAD"/>
    <w:rsid w:val="005C1C18"/>
    <w:rsid w:val="005C2919"/>
    <w:rsid w:val="005C431D"/>
    <w:rsid w:val="005D09C3"/>
    <w:rsid w:val="005D2648"/>
    <w:rsid w:val="005D7314"/>
    <w:rsid w:val="005E40FA"/>
    <w:rsid w:val="005F1A6D"/>
    <w:rsid w:val="005F47AF"/>
    <w:rsid w:val="0060010C"/>
    <w:rsid w:val="00620078"/>
    <w:rsid w:val="00635E15"/>
    <w:rsid w:val="0064456C"/>
    <w:rsid w:val="00645424"/>
    <w:rsid w:val="00646DA5"/>
    <w:rsid w:val="006556FC"/>
    <w:rsid w:val="00680FAE"/>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1DE9"/>
    <w:rsid w:val="00886ACD"/>
    <w:rsid w:val="00894AD8"/>
    <w:rsid w:val="008A3762"/>
    <w:rsid w:val="008A4FF9"/>
    <w:rsid w:val="008A5A02"/>
    <w:rsid w:val="008A6AFF"/>
    <w:rsid w:val="008C62A3"/>
    <w:rsid w:val="008C6813"/>
    <w:rsid w:val="008E016D"/>
    <w:rsid w:val="008E2609"/>
    <w:rsid w:val="008F026B"/>
    <w:rsid w:val="008F13BB"/>
    <w:rsid w:val="008F424A"/>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9F0041"/>
    <w:rsid w:val="009F3E1B"/>
    <w:rsid w:val="00A04BB6"/>
    <w:rsid w:val="00A24523"/>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668D7"/>
    <w:rsid w:val="00B819C5"/>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978D7"/>
    <w:rsid w:val="00CB00EB"/>
    <w:rsid w:val="00CC427D"/>
    <w:rsid w:val="00CC500F"/>
    <w:rsid w:val="00CD1ED3"/>
    <w:rsid w:val="00CD3F0C"/>
    <w:rsid w:val="00CE6C99"/>
    <w:rsid w:val="00CF1CED"/>
    <w:rsid w:val="00CF2B8A"/>
    <w:rsid w:val="00CF517F"/>
    <w:rsid w:val="00CF6C12"/>
    <w:rsid w:val="00D01CC2"/>
    <w:rsid w:val="00D023A2"/>
    <w:rsid w:val="00D114CF"/>
    <w:rsid w:val="00D224D5"/>
    <w:rsid w:val="00D41461"/>
    <w:rsid w:val="00D57754"/>
    <w:rsid w:val="00D7424D"/>
    <w:rsid w:val="00D81435"/>
    <w:rsid w:val="00D81B6E"/>
    <w:rsid w:val="00DC3420"/>
    <w:rsid w:val="00DD2EFE"/>
    <w:rsid w:val="00DD7745"/>
    <w:rsid w:val="00DD78B0"/>
    <w:rsid w:val="00DF089C"/>
    <w:rsid w:val="00DF0B29"/>
    <w:rsid w:val="00DF45C9"/>
    <w:rsid w:val="00E0171A"/>
    <w:rsid w:val="00E02F1C"/>
    <w:rsid w:val="00E077C7"/>
    <w:rsid w:val="00E14ED2"/>
    <w:rsid w:val="00E17671"/>
    <w:rsid w:val="00E246FD"/>
    <w:rsid w:val="00E401E2"/>
    <w:rsid w:val="00E70FC9"/>
    <w:rsid w:val="00E933E2"/>
    <w:rsid w:val="00EB05BD"/>
    <w:rsid w:val="00EC7D80"/>
    <w:rsid w:val="00ED422B"/>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471DB"/>
    <w:rsid w:val="00F5007F"/>
    <w:rsid w:val="00F522FD"/>
    <w:rsid w:val="00F7560A"/>
    <w:rsid w:val="00F80E86"/>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5813B"/>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D023A2"/>
    <w:rPr>
      <w:sz w:val="16"/>
      <w:szCs w:val="16"/>
    </w:rPr>
  </w:style>
  <w:style w:type="paragraph" w:styleId="CommentText">
    <w:name w:val="annotation text"/>
    <w:basedOn w:val="Normal"/>
    <w:link w:val="CommentTextChar"/>
    <w:rsid w:val="00D023A2"/>
    <w:rPr>
      <w:sz w:val="20"/>
      <w:szCs w:val="20"/>
    </w:rPr>
  </w:style>
  <w:style w:type="character" w:customStyle="1" w:styleId="CommentTextChar">
    <w:name w:val="Comment Text Char"/>
    <w:basedOn w:val="DefaultParagraphFont"/>
    <w:link w:val="CommentText"/>
    <w:rsid w:val="00D023A2"/>
  </w:style>
  <w:style w:type="paragraph" w:styleId="CommentSubject">
    <w:name w:val="annotation subject"/>
    <w:basedOn w:val="CommentText"/>
    <w:next w:val="CommentText"/>
    <w:link w:val="CommentSubjectChar"/>
    <w:rsid w:val="00D023A2"/>
    <w:rPr>
      <w:b/>
      <w:bCs/>
    </w:rPr>
  </w:style>
  <w:style w:type="character" w:customStyle="1" w:styleId="CommentSubjectChar">
    <w:name w:val="Comment Subject Char"/>
    <w:basedOn w:val="CommentTextChar"/>
    <w:link w:val="CommentSubject"/>
    <w:rsid w:val="00D023A2"/>
    <w:rPr>
      <w:b/>
      <w:bCs/>
    </w:rPr>
  </w:style>
  <w:style w:type="paragraph" w:styleId="BalloonText">
    <w:name w:val="Balloon Text"/>
    <w:basedOn w:val="Normal"/>
    <w:link w:val="BalloonTextChar"/>
    <w:semiHidden/>
    <w:unhideWhenUsed/>
    <w:rsid w:val="00D023A2"/>
    <w:rPr>
      <w:rFonts w:ascii="Segoe UI" w:hAnsi="Segoe UI" w:cs="Segoe UI"/>
      <w:sz w:val="18"/>
      <w:szCs w:val="18"/>
    </w:rPr>
  </w:style>
  <w:style w:type="character" w:customStyle="1" w:styleId="BalloonTextChar">
    <w:name w:val="Balloon Text Char"/>
    <w:basedOn w:val="DefaultParagraphFont"/>
    <w:link w:val="BalloonText"/>
    <w:semiHidden/>
    <w:rsid w:val="00D02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5</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6</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7</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8</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9</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10</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11</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12</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13</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14</b:RefOrder>
  </b:Source>
</b:Sources>
</file>

<file path=customXml/itemProps1.xml><?xml version="1.0" encoding="utf-8"?>
<ds:datastoreItem xmlns:ds="http://schemas.openxmlformats.org/officeDocument/2006/customXml" ds:itemID="{CAD59DA4-9CF6-4E9D-A321-D977DD96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Evening</cp:lastModifiedBy>
  <cp:revision>3</cp:revision>
  <dcterms:created xsi:type="dcterms:W3CDTF">2019-07-15T10:16:00Z</dcterms:created>
  <dcterms:modified xsi:type="dcterms:W3CDTF">2019-07-15T10:25:00Z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id="xIh9F5YZ"/&gt;&lt;style id="http://www.zotero.org/styles/elsevier-harvard" hasBibliography="1" bibliographyStyleHasBeenSet="0"/&gt;&lt;prefs&gt;&lt;pref name="fieldType" value="Field"/&gt;&lt;/prefs&gt;&lt;/data&gt;</vt:lpwstr>
  </property>
</Properties>
</file>