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4F4E38" w:rsidRDefault="008F4C5F">
      <w:pPr>
        <w:rPr>
          <w:rFonts w:ascii="Times New Roman" w:hAnsi="Times New Roman" w:cs="Times New Roman"/>
          <w:sz w:val="24"/>
          <w:szCs w:val="24"/>
        </w:rPr>
      </w:pPr>
      <w:r w:rsidRPr="004F4E38">
        <w:rPr>
          <w:rFonts w:ascii="Times New Roman" w:hAnsi="Times New Roman" w:cs="Times New Roman"/>
          <w:sz w:val="24"/>
          <w:szCs w:val="24"/>
        </w:rPr>
        <w:t>`</w:t>
      </w:r>
    </w:p>
    <w:p w:rsidR="004D66C0" w:rsidRPr="004F4E38" w:rsidRDefault="004D66C0">
      <w:pPr>
        <w:rPr>
          <w:rFonts w:ascii="Times New Roman" w:hAnsi="Times New Roman" w:cs="Times New Roman"/>
          <w:sz w:val="24"/>
          <w:szCs w:val="24"/>
        </w:rPr>
      </w:pPr>
    </w:p>
    <w:p w:rsidR="004D66C0" w:rsidRPr="004F4E38" w:rsidRDefault="004D66C0">
      <w:pPr>
        <w:rPr>
          <w:rFonts w:ascii="Times New Roman" w:hAnsi="Times New Roman" w:cs="Times New Roman"/>
          <w:sz w:val="24"/>
          <w:szCs w:val="24"/>
        </w:rPr>
      </w:pPr>
    </w:p>
    <w:p w:rsidR="00F64F2F" w:rsidRPr="004F4E38" w:rsidRDefault="00C27E98" w:rsidP="00C27E98">
      <w:pPr>
        <w:jc w:val="center"/>
        <w:rPr>
          <w:rFonts w:ascii="Times New Roman" w:hAnsi="Times New Roman" w:cs="Times New Roman"/>
          <w:sz w:val="24"/>
          <w:szCs w:val="24"/>
        </w:rPr>
      </w:pPr>
      <w:r w:rsidRPr="004F4E38">
        <w:rPr>
          <w:rFonts w:ascii="Times New Roman" w:hAnsi="Times New Roman" w:cs="Times New Roman"/>
          <w:sz w:val="24"/>
          <w:szCs w:val="24"/>
        </w:rPr>
        <w:t>Law303 Taxation Law</w:t>
      </w:r>
    </w:p>
    <w:p w:rsidR="004D66C0" w:rsidRPr="004F4E38" w:rsidRDefault="004D66C0" w:rsidP="00F64F2F">
      <w:pPr>
        <w:jc w:val="center"/>
        <w:rPr>
          <w:rFonts w:ascii="Times New Roman" w:hAnsi="Times New Roman" w:cs="Times New Roman"/>
          <w:sz w:val="24"/>
          <w:szCs w:val="24"/>
        </w:rPr>
      </w:pPr>
      <w:r w:rsidRPr="004F4E38">
        <w:rPr>
          <w:rFonts w:ascii="Times New Roman" w:hAnsi="Times New Roman" w:cs="Times New Roman"/>
          <w:sz w:val="24"/>
          <w:szCs w:val="24"/>
        </w:rPr>
        <w:t>Student’s Name</w:t>
      </w:r>
    </w:p>
    <w:p w:rsidR="004D66C0" w:rsidRPr="004F4E38" w:rsidRDefault="004D66C0" w:rsidP="00F64F2F">
      <w:pPr>
        <w:jc w:val="center"/>
        <w:rPr>
          <w:rFonts w:ascii="Times New Roman" w:hAnsi="Times New Roman" w:cs="Times New Roman"/>
          <w:sz w:val="24"/>
          <w:szCs w:val="24"/>
        </w:rPr>
      </w:pPr>
      <w:r w:rsidRPr="004F4E38">
        <w:rPr>
          <w:rFonts w:ascii="Times New Roman" w:hAnsi="Times New Roman" w:cs="Times New Roman"/>
          <w:sz w:val="24"/>
          <w:szCs w:val="24"/>
        </w:rPr>
        <w:t>Institution</w:t>
      </w:r>
    </w:p>
    <w:p w:rsidR="004D66C0" w:rsidRPr="004F4E38" w:rsidRDefault="004D66C0" w:rsidP="00F64F2F">
      <w:pPr>
        <w:jc w:val="center"/>
        <w:rPr>
          <w:rFonts w:ascii="Times New Roman" w:hAnsi="Times New Roman" w:cs="Times New Roman"/>
          <w:sz w:val="24"/>
          <w:szCs w:val="24"/>
        </w:rPr>
      </w:pPr>
      <w:r w:rsidRPr="004F4E38">
        <w:rPr>
          <w:rFonts w:ascii="Times New Roman" w:hAnsi="Times New Roman" w:cs="Times New Roman"/>
          <w:sz w:val="24"/>
          <w:szCs w:val="24"/>
        </w:rPr>
        <w:t>Course Code</w:t>
      </w:r>
    </w:p>
    <w:p w:rsidR="004D66C0" w:rsidRPr="004F4E38" w:rsidRDefault="004D66C0" w:rsidP="00F64F2F">
      <w:pPr>
        <w:jc w:val="center"/>
        <w:rPr>
          <w:rFonts w:ascii="Times New Roman" w:hAnsi="Times New Roman" w:cs="Times New Roman"/>
          <w:sz w:val="24"/>
          <w:szCs w:val="24"/>
        </w:rPr>
      </w:pPr>
      <w:r w:rsidRPr="004F4E38">
        <w:rPr>
          <w:rFonts w:ascii="Times New Roman" w:hAnsi="Times New Roman" w:cs="Times New Roman"/>
          <w:sz w:val="24"/>
          <w:szCs w:val="24"/>
        </w:rPr>
        <w:t>Date</w:t>
      </w:r>
    </w:p>
    <w:p w:rsidR="004D66C0" w:rsidRPr="004F4E38" w:rsidRDefault="004D66C0" w:rsidP="00F64F2F">
      <w:pPr>
        <w:jc w:val="center"/>
        <w:rPr>
          <w:rFonts w:ascii="Times New Roman" w:hAnsi="Times New Roman" w:cs="Times New Roman"/>
          <w:sz w:val="24"/>
          <w:szCs w:val="24"/>
        </w:rPr>
      </w:pPr>
    </w:p>
    <w:p w:rsidR="004D66C0" w:rsidRPr="004F4E38" w:rsidRDefault="004D66C0">
      <w:pPr>
        <w:rPr>
          <w:rFonts w:ascii="Times New Roman" w:hAnsi="Times New Roman" w:cs="Times New Roman"/>
          <w:sz w:val="24"/>
          <w:szCs w:val="24"/>
        </w:rPr>
      </w:pPr>
    </w:p>
    <w:p w:rsidR="004D66C0" w:rsidRPr="004F4E38" w:rsidRDefault="004D66C0">
      <w:pPr>
        <w:rPr>
          <w:rFonts w:ascii="Times New Roman" w:hAnsi="Times New Roman" w:cs="Times New Roman"/>
          <w:sz w:val="24"/>
          <w:szCs w:val="24"/>
        </w:rPr>
      </w:pPr>
    </w:p>
    <w:p w:rsidR="004D66C0" w:rsidRPr="004F4E38" w:rsidRDefault="004D66C0">
      <w:pPr>
        <w:rPr>
          <w:rFonts w:ascii="Times New Roman" w:hAnsi="Times New Roman" w:cs="Times New Roman"/>
          <w:sz w:val="24"/>
          <w:szCs w:val="24"/>
        </w:rPr>
      </w:pPr>
    </w:p>
    <w:p w:rsidR="004D66C0" w:rsidRPr="004F4E38" w:rsidRDefault="004D66C0">
      <w:pPr>
        <w:rPr>
          <w:rFonts w:ascii="Times New Roman" w:hAnsi="Times New Roman" w:cs="Times New Roman"/>
          <w:sz w:val="24"/>
          <w:szCs w:val="24"/>
        </w:rPr>
      </w:pPr>
    </w:p>
    <w:p w:rsidR="004D66C0" w:rsidRPr="004F4E38" w:rsidRDefault="004D66C0">
      <w:pPr>
        <w:rPr>
          <w:rFonts w:ascii="Times New Roman" w:hAnsi="Times New Roman" w:cs="Times New Roman"/>
          <w:sz w:val="24"/>
          <w:szCs w:val="24"/>
        </w:rPr>
      </w:pPr>
    </w:p>
    <w:p w:rsidR="004D66C0" w:rsidRPr="004F4E38" w:rsidRDefault="004D66C0">
      <w:pPr>
        <w:rPr>
          <w:rFonts w:ascii="Times New Roman" w:hAnsi="Times New Roman" w:cs="Times New Roman"/>
          <w:sz w:val="24"/>
          <w:szCs w:val="24"/>
        </w:rPr>
      </w:pPr>
    </w:p>
    <w:p w:rsidR="004D66C0" w:rsidRPr="004F4E38" w:rsidRDefault="004D66C0">
      <w:pPr>
        <w:rPr>
          <w:rFonts w:ascii="Times New Roman" w:hAnsi="Times New Roman" w:cs="Times New Roman"/>
          <w:sz w:val="24"/>
          <w:szCs w:val="24"/>
        </w:rPr>
      </w:pPr>
    </w:p>
    <w:p w:rsidR="004D66C0" w:rsidRPr="004F4E38" w:rsidRDefault="004D66C0">
      <w:pPr>
        <w:rPr>
          <w:rFonts w:ascii="Times New Roman" w:hAnsi="Times New Roman" w:cs="Times New Roman"/>
          <w:sz w:val="24"/>
          <w:szCs w:val="24"/>
        </w:rPr>
      </w:pPr>
    </w:p>
    <w:p w:rsidR="004D66C0" w:rsidRPr="004F4E38" w:rsidRDefault="004D66C0">
      <w:pPr>
        <w:rPr>
          <w:rFonts w:ascii="Times New Roman" w:hAnsi="Times New Roman" w:cs="Times New Roman"/>
          <w:sz w:val="24"/>
          <w:szCs w:val="24"/>
        </w:rPr>
      </w:pPr>
    </w:p>
    <w:p w:rsidR="004D66C0" w:rsidRPr="004F4E38" w:rsidRDefault="004D66C0">
      <w:pPr>
        <w:rPr>
          <w:rFonts w:ascii="Times New Roman" w:hAnsi="Times New Roman" w:cs="Times New Roman"/>
          <w:sz w:val="24"/>
          <w:szCs w:val="24"/>
        </w:rPr>
      </w:pPr>
    </w:p>
    <w:p w:rsidR="004D66C0" w:rsidRPr="004F4E38" w:rsidRDefault="004D66C0">
      <w:pPr>
        <w:rPr>
          <w:rFonts w:ascii="Times New Roman" w:hAnsi="Times New Roman" w:cs="Times New Roman"/>
          <w:sz w:val="24"/>
          <w:szCs w:val="24"/>
        </w:rPr>
      </w:pPr>
    </w:p>
    <w:p w:rsidR="004D66C0" w:rsidRPr="004F4E38" w:rsidRDefault="004D66C0">
      <w:pPr>
        <w:rPr>
          <w:rFonts w:ascii="Times New Roman" w:hAnsi="Times New Roman" w:cs="Times New Roman"/>
          <w:sz w:val="24"/>
          <w:szCs w:val="24"/>
        </w:rPr>
      </w:pPr>
    </w:p>
    <w:p w:rsidR="004D66C0" w:rsidRPr="004F4E38" w:rsidRDefault="004D66C0">
      <w:pPr>
        <w:rPr>
          <w:rFonts w:ascii="Times New Roman" w:hAnsi="Times New Roman" w:cs="Times New Roman"/>
          <w:sz w:val="24"/>
          <w:szCs w:val="24"/>
        </w:rPr>
      </w:pPr>
    </w:p>
    <w:p w:rsidR="004D66C0" w:rsidRPr="004F4E38" w:rsidRDefault="004D66C0">
      <w:pPr>
        <w:rPr>
          <w:rFonts w:ascii="Times New Roman" w:hAnsi="Times New Roman" w:cs="Times New Roman"/>
          <w:sz w:val="24"/>
          <w:szCs w:val="24"/>
        </w:rPr>
      </w:pPr>
    </w:p>
    <w:p w:rsidR="004D66C0" w:rsidRPr="004F4E38" w:rsidRDefault="004D66C0">
      <w:pPr>
        <w:rPr>
          <w:rFonts w:ascii="Times New Roman" w:hAnsi="Times New Roman" w:cs="Times New Roman"/>
          <w:sz w:val="24"/>
          <w:szCs w:val="24"/>
        </w:rPr>
      </w:pPr>
    </w:p>
    <w:p w:rsidR="003D2D51" w:rsidRPr="004F4E38" w:rsidRDefault="003D2D51">
      <w:pPr>
        <w:rPr>
          <w:rFonts w:ascii="Times New Roman" w:hAnsi="Times New Roman" w:cs="Times New Roman"/>
          <w:sz w:val="24"/>
          <w:szCs w:val="24"/>
        </w:rPr>
      </w:pPr>
    </w:p>
    <w:p w:rsidR="004D66C0" w:rsidRPr="004F4E38" w:rsidRDefault="00F64F2F" w:rsidP="00DC3123">
      <w:pPr>
        <w:spacing w:after="0" w:line="480" w:lineRule="auto"/>
        <w:jc w:val="center"/>
        <w:rPr>
          <w:rFonts w:ascii="Times New Roman" w:hAnsi="Times New Roman" w:cs="Times New Roman"/>
          <w:b/>
          <w:sz w:val="24"/>
          <w:szCs w:val="24"/>
        </w:rPr>
      </w:pPr>
      <w:r w:rsidRPr="004F4E38">
        <w:rPr>
          <w:rFonts w:ascii="Times New Roman" w:hAnsi="Times New Roman" w:cs="Times New Roman"/>
          <w:b/>
          <w:sz w:val="24"/>
          <w:szCs w:val="24"/>
        </w:rPr>
        <w:lastRenderedPageBreak/>
        <w:t>Introduction</w:t>
      </w:r>
    </w:p>
    <w:p w:rsidR="00F64F2F" w:rsidRPr="004F4E38" w:rsidRDefault="008F4C5F" w:rsidP="00DC3123">
      <w:pPr>
        <w:spacing w:after="0" w:line="480" w:lineRule="auto"/>
        <w:ind w:firstLine="720"/>
        <w:rPr>
          <w:rFonts w:ascii="Times New Roman" w:hAnsi="Times New Roman" w:cs="Times New Roman"/>
          <w:sz w:val="24"/>
          <w:szCs w:val="24"/>
        </w:rPr>
      </w:pPr>
      <w:r w:rsidRPr="004F4E38">
        <w:rPr>
          <w:rFonts w:ascii="Times New Roman" w:hAnsi="Times New Roman" w:cs="Times New Roman"/>
          <w:sz w:val="24"/>
          <w:szCs w:val="24"/>
        </w:rPr>
        <w:t>Taxation and taxes continued to be an important component of revenue for most governments. In Australia, taxation is a major source of revenue for federal government.</w:t>
      </w:r>
      <w:r w:rsidR="00DF1E94" w:rsidRPr="004F4E38">
        <w:rPr>
          <w:rFonts w:ascii="Times New Roman" w:hAnsi="Times New Roman" w:cs="Times New Roman"/>
          <w:sz w:val="24"/>
          <w:szCs w:val="24"/>
        </w:rPr>
        <w:t xml:space="preserve"> According </w:t>
      </w:r>
      <w:r w:rsidR="00BD1DA7" w:rsidRPr="004F4E38">
        <w:rPr>
          <w:rFonts w:ascii="Times New Roman" w:hAnsi="Times New Roman" w:cs="Times New Roman"/>
          <w:sz w:val="24"/>
          <w:szCs w:val="24"/>
        </w:rPr>
        <w:t xml:space="preserve">to </w:t>
      </w:r>
      <w:r w:rsidR="00BD1DA7" w:rsidRPr="004F4E38">
        <w:rPr>
          <w:rFonts w:ascii="Times New Roman" w:hAnsi="Times New Roman" w:cs="Times New Roman"/>
          <w:noProof/>
          <w:sz w:val="24"/>
          <w:szCs w:val="24"/>
        </w:rPr>
        <w:t>Tylor (2015)</w:t>
      </w:r>
      <w:r w:rsidR="00461A58" w:rsidRPr="004F4E38">
        <w:rPr>
          <w:rFonts w:ascii="Times New Roman" w:hAnsi="Times New Roman" w:cs="Times New Roman"/>
          <w:sz w:val="24"/>
          <w:szCs w:val="24"/>
        </w:rPr>
        <w:t>,</w:t>
      </w:r>
      <w:r w:rsidRPr="004F4E38">
        <w:rPr>
          <w:rFonts w:ascii="Times New Roman" w:hAnsi="Times New Roman" w:cs="Times New Roman"/>
          <w:sz w:val="24"/>
          <w:szCs w:val="24"/>
        </w:rPr>
        <w:t xml:space="preserve"> there are several laws, policies and regulations enacted to provide the guidance needed to be followed by every residents of Australia. </w:t>
      </w:r>
      <w:r w:rsidR="003D2D51" w:rsidRPr="004F4E38">
        <w:rPr>
          <w:rFonts w:ascii="Times New Roman" w:hAnsi="Times New Roman" w:cs="Times New Roman"/>
          <w:sz w:val="24"/>
          <w:szCs w:val="24"/>
        </w:rPr>
        <w:t xml:space="preserve"> </w:t>
      </w:r>
      <w:r w:rsidR="00E10E28" w:rsidRPr="004F4E38">
        <w:rPr>
          <w:rFonts w:ascii="Times New Roman" w:hAnsi="Times New Roman" w:cs="Times New Roman"/>
          <w:sz w:val="24"/>
          <w:szCs w:val="24"/>
        </w:rPr>
        <w:t xml:space="preserve">The design and structure method of collection of taxes are essential for any nation. </w:t>
      </w:r>
      <w:r w:rsidR="002A4EFF" w:rsidRPr="004F4E38">
        <w:rPr>
          <w:rFonts w:ascii="Times New Roman" w:hAnsi="Times New Roman" w:cs="Times New Roman"/>
          <w:sz w:val="24"/>
          <w:szCs w:val="24"/>
        </w:rPr>
        <w:t xml:space="preserve">The Australia laws of taxations, which provide guidance in the way all taxes are supposed to be submitted are differ and it is based on the kind of income and whether an individual is a resident in Australia or not and the kind of business one practice. </w:t>
      </w:r>
      <w:r w:rsidR="00D9344D" w:rsidRPr="004F4E38">
        <w:rPr>
          <w:rFonts w:ascii="Times New Roman" w:hAnsi="Times New Roman" w:cs="Times New Roman"/>
          <w:sz w:val="24"/>
          <w:szCs w:val="24"/>
        </w:rPr>
        <w:t>In the case study, Carl</w:t>
      </w:r>
      <w:r w:rsidR="00705887" w:rsidRPr="004F4E38">
        <w:rPr>
          <w:rFonts w:ascii="Times New Roman" w:hAnsi="Times New Roman" w:cs="Times New Roman"/>
          <w:sz w:val="24"/>
          <w:szCs w:val="24"/>
        </w:rPr>
        <w:t>a</w:t>
      </w:r>
      <w:r w:rsidR="00D9344D" w:rsidRPr="004F4E38">
        <w:rPr>
          <w:rFonts w:ascii="Times New Roman" w:hAnsi="Times New Roman" w:cs="Times New Roman"/>
          <w:sz w:val="24"/>
          <w:szCs w:val="24"/>
        </w:rPr>
        <w:t xml:space="preserve"> is a resident of Australia since she practice law and consultancy services in Australia and spend most of her time in </w:t>
      </w:r>
      <w:r w:rsidR="008A6D44" w:rsidRPr="004F4E38">
        <w:rPr>
          <w:rFonts w:ascii="Times New Roman" w:hAnsi="Times New Roman" w:cs="Times New Roman"/>
          <w:sz w:val="24"/>
          <w:szCs w:val="24"/>
        </w:rPr>
        <w:t>Australia</w:t>
      </w:r>
      <w:r w:rsidR="00D9344D" w:rsidRPr="004F4E38">
        <w:rPr>
          <w:rFonts w:ascii="Times New Roman" w:hAnsi="Times New Roman" w:cs="Times New Roman"/>
          <w:sz w:val="24"/>
          <w:szCs w:val="24"/>
        </w:rPr>
        <w:t xml:space="preserve">. </w:t>
      </w:r>
      <w:r w:rsidR="00705887" w:rsidRPr="004F4E38">
        <w:rPr>
          <w:rFonts w:ascii="Times New Roman" w:hAnsi="Times New Roman" w:cs="Times New Roman"/>
          <w:sz w:val="24"/>
          <w:szCs w:val="24"/>
        </w:rPr>
        <w:t xml:space="preserve">The tax law covers corporate, income </w:t>
      </w:r>
      <w:r w:rsidR="00B96302" w:rsidRPr="004F4E38">
        <w:rPr>
          <w:rFonts w:ascii="Times New Roman" w:hAnsi="Times New Roman" w:cs="Times New Roman"/>
          <w:sz w:val="24"/>
          <w:szCs w:val="24"/>
        </w:rPr>
        <w:t xml:space="preserve">exercise, </w:t>
      </w:r>
      <w:r w:rsidR="007225AF" w:rsidRPr="004F4E38">
        <w:rPr>
          <w:rFonts w:ascii="Times New Roman" w:hAnsi="Times New Roman" w:cs="Times New Roman"/>
          <w:sz w:val="24"/>
          <w:szCs w:val="24"/>
        </w:rPr>
        <w:t xml:space="preserve">luxury and estate taxes. </w:t>
      </w:r>
      <w:r w:rsidR="00F464AB" w:rsidRPr="004F4E38">
        <w:rPr>
          <w:rFonts w:ascii="Times New Roman" w:hAnsi="Times New Roman" w:cs="Times New Roman"/>
          <w:sz w:val="24"/>
          <w:szCs w:val="24"/>
        </w:rPr>
        <w:t xml:space="preserve"> Therefore, Carla will be subjected to capital gain tax (CGT)</w:t>
      </w:r>
      <w:r w:rsidR="00F867C8" w:rsidRPr="004F4E38">
        <w:rPr>
          <w:rFonts w:ascii="Times New Roman" w:hAnsi="Times New Roman" w:cs="Times New Roman"/>
          <w:sz w:val="24"/>
          <w:szCs w:val="24"/>
        </w:rPr>
        <w:t xml:space="preserve">, Good Service Tax (GST), Fringe </w:t>
      </w:r>
      <w:r w:rsidR="00337FF5" w:rsidRPr="004F4E38">
        <w:rPr>
          <w:rFonts w:ascii="Times New Roman" w:hAnsi="Times New Roman" w:cs="Times New Roman"/>
          <w:sz w:val="24"/>
          <w:szCs w:val="24"/>
        </w:rPr>
        <w:t>Benefit Tax (FBT)</w:t>
      </w:r>
      <w:r w:rsidR="007824E0" w:rsidRPr="004F4E38">
        <w:rPr>
          <w:rFonts w:ascii="Times New Roman" w:hAnsi="Times New Roman" w:cs="Times New Roman"/>
          <w:sz w:val="24"/>
          <w:szCs w:val="24"/>
        </w:rPr>
        <w:t xml:space="preserve">, Medicare levy </w:t>
      </w:r>
      <w:r w:rsidR="009C7E60" w:rsidRPr="004F4E38">
        <w:rPr>
          <w:rFonts w:ascii="Times New Roman" w:hAnsi="Times New Roman" w:cs="Times New Roman"/>
          <w:sz w:val="24"/>
          <w:szCs w:val="24"/>
        </w:rPr>
        <w:t xml:space="preserve">and income tax for </w:t>
      </w:r>
      <w:r w:rsidR="00E94454" w:rsidRPr="004F4E38">
        <w:rPr>
          <w:rFonts w:ascii="Times New Roman" w:hAnsi="Times New Roman" w:cs="Times New Roman"/>
          <w:sz w:val="24"/>
          <w:szCs w:val="24"/>
        </w:rPr>
        <w:t>both personal and business taxation and</w:t>
      </w:r>
      <w:r w:rsidR="009C7E60" w:rsidRPr="004F4E38">
        <w:rPr>
          <w:rFonts w:ascii="Times New Roman" w:hAnsi="Times New Roman" w:cs="Times New Roman"/>
          <w:sz w:val="24"/>
          <w:szCs w:val="24"/>
        </w:rPr>
        <w:t xml:space="preserve"> tax payable to the federal government of Australia. </w:t>
      </w:r>
    </w:p>
    <w:p w:rsidR="00D714D0" w:rsidRPr="004F4E38" w:rsidRDefault="00D714D0" w:rsidP="00382B60">
      <w:pPr>
        <w:spacing w:after="0" w:line="480" w:lineRule="auto"/>
        <w:ind w:firstLine="720"/>
        <w:jc w:val="center"/>
        <w:rPr>
          <w:rFonts w:ascii="Times New Roman" w:hAnsi="Times New Roman" w:cs="Times New Roman"/>
          <w:b/>
          <w:sz w:val="24"/>
          <w:szCs w:val="24"/>
        </w:rPr>
      </w:pPr>
      <w:r w:rsidRPr="004F4E38">
        <w:rPr>
          <w:rFonts w:ascii="Times New Roman" w:hAnsi="Times New Roman" w:cs="Times New Roman"/>
          <w:b/>
          <w:sz w:val="24"/>
          <w:szCs w:val="24"/>
        </w:rPr>
        <w:t>Goods and services tax (GST)</w:t>
      </w:r>
    </w:p>
    <w:p w:rsidR="00D714D0" w:rsidRPr="004F4E38" w:rsidRDefault="00D714D0" w:rsidP="00DC3123">
      <w:pPr>
        <w:spacing w:after="0" w:line="480" w:lineRule="auto"/>
        <w:ind w:firstLine="720"/>
        <w:rPr>
          <w:rFonts w:ascii="Times New Roman" w:hAnsi="Times New Roman" w:cs="Times New Roman"/>
          <w:sz w:val="24"/>
          <w:szCs w:val="24"/>
        </w:rPr>
      </w:pPr>
      <w:r w:rsidRPr="004F4E38">
        <w:rPr>
          <w:rFonts w:ascii="Times New Roman" w:hAnsi="Times New Roman" w:cs="Times New Roman"/>
          <w:sz w:val="24"/>
          <w:szCs w:val="24"/>
        </w:rPr>
        <w:t xml:space="preserve">The good and services tax (GST) is the tax submitted by business, if the revenue of a company is greater than </w:t>
      </w:r>
      <w:r w:rsidR="00185D0F" w:rsidRPr="004F4E38">
        <w:rPr>
          <w:rFonts w:ascii="Times New Roman" w:hAnsi="Times New Roman" w:cs="Times New Roman"/>
          <w:sz w:val="24"/>
          <w:szCs w:val="24"/>
        </w:rPr>
        <w:t>$</w:t>
      </w:r>
      <w:r w:rsidR="00230ABB" w:rsidRPr="004F4E38">
        <w:rPr>
          <w:rFonts w:ascii="Times New Roman" w:hAnsi="Times New Roman" w:cs="Times New Roman"/>
          <w:sz w:val="24"/>
          <w:szCs w:val="24"/>
        </w:rPr>
        <w:t>75,000</w:t>
      </w:r>
      <w:r w:rsidR="00185D0F" w:rsidRPr="004F4E38">
        <w:rPr>
          <w:rFonts w:ascii="Times New Roman" w:hAnsi="Times New Roman" w:cs="Times New Roman"/>
          <w:sz w:val="24"/>
          <w:szCs w:val="24"/>
        </w:rPr>
        <w:t xml:space="preserve">. </w:t>
      </w:r>
      <w:r w:rsidR="00A83E38" w:rsidRPr="004F4E38">
        <w:rPr>
          <w:rFonts w:ascii="Times New Roman" w:hAnsi="Times New Roman" w:cs="Times New Roman"/>
          <w:sz w:val="24"/>
          <w:szCs w:val="24"/>
        </w:rPr>
        <w:t xml:space="preserve">As </w:t>
      </w:r>
      <w:r w:rsidR="00D30F9C" w:rsidRPr="004F4E38">
        <w:rPr>
          <w:rFonts w:ascii="Times New Roman" w:hAnsi="Times New Roman" w:cs="Times New Roman"/>
          <w:sz w:val="24"/>
          <w:szCs w:val="24"/>
        </w:rPr>
        <w:t>stated by</w:t>
      </w:r>
      <w:r w:rsidR="00A83E38" w:rsidRPr="004F4E38">
        <w:rPr>
          <w:rFonts w:ascii="Times New Roman" w:hAnsi="Times New Roman" w:cs="Times New Roman"/>
          <w:sz w:val="24"/>
          <w:szCs w:val="24"/>
        </w:rPr>
        <w:t xml:space="preserve"> </w:t>
      </w:r>
      <w:r w:rsidR="00F43E5B" w:rsidRPr="004F4E38">
        <w:rPr>
          <w:rFonts w:ascii="Times New Roman" w:hAnsi="Times New Roman" w:cs="Times New Roman"/>
          <w:noProof/>
          <w:sz w:val="24"/>
          <w:szCs w:val="24"/>
        </w:rPr>
        <w:t>Warner, Pengilley, &amp; Glass</w:t>
      </w:r>
      <w:r w:rsidR="009955EB" w:rsidRPr="004F4E38">
        <w:rPr>
          <w:rFonts w:ascii="Times New Roman" w:hAnsi="Times New Roman" w:cs="Times New Roman"/>
          <w:noProof/>
          <w:sz w:val="24"/>
          <w:szCs w:val="24"/>
        </w:rPr>
        <w:t xml:space="preserve"> </w:t>
      </w:r>
      <w:r w:rsidR="00F43E5B" w:rsidRPr="004F4E38">
        <w:rPr>
          <w:rFonts w:ascii="Times New Roman" w:hAnsi="Times New Roman" w:cs="Times New Roman"/>
          <w:noProof/>
          <w:sz w:val="24"/>
          <w:szCs w:val="24"/>
        </w:rPr>
        <w:t>(</w:t>
      </w:r>
      <w:r w:rsidR="009955EB" w:rsidRPr="004F4E38">
        <w:rPr>
          <w:rFonts w:ascii="Times New Roman" w:hAnsi="Times New Roman" w:cs="Times New Roman"/>
          <w:noProof/>
          <w:sz w:val="24"/>
          <w:szCs w:val="24"/>
        </w:rPr>
        <w:t>2010, p. 12)</w:t>
      </w:r>
      <w:r w:rsidR="00185D0F" w:rsidRPr="004F4E38">
        <w:rPr>
          <w:rFonts w:ascii="Times New Roman" w:hAnsi="Times New Roman" w:cs="Times New Roman"/>
          <w:sz w:val="24"/>
          <w:szCs w:val="24"/>
        </w:rPr>
        <w:t xml:space="preserve"> GST is paid by all companies in Australia and if a company fails to make a revenue of more than $75,000, it would be required of the company not to submit and apply for an </w:t>
      </w:r>
      <w:r w:rsidR="00A83E38" w:rsidRPr="004F4E38">
        <w:rPr>
          <w:rFonts w:ascii="Times New Roman" w:hAnsi="Times New Roman" w:cs="Times New Roman"/>
          <w:sz w:val="24"/>
          <w:szCs w:val="24"/>
        </w:rPr>
        <w:t>exception</w:t>
      </w:r>
      <w:r w:rsidR="00185D0F" w:rsidRPr="004F4E38">
        <w:rPr>
          <w:rFonts w:ascii="Times New Roman" w:hAnsi="Times New Roman" w:cs="Times New Roman"/>
          <w:sz w:val="24"/>
          <w:szCs w:val="24"/>
        </w:rPr>
        <w:t xml:space="preserve"> for that particular year. </w:t>
      </w:r>
      <w:r w:rsidR="009542B8" w:rsidRPr="004F4E38">
        <w:rPr>
          <w:rFonts w:ascii="Times New Roman" w:hAnsi="Times New Roman" w:cs="Times New Roman"/>
          <w:sz w:val="24"/>
          <w:szCs w:val="24"/>
        </w:rPr>
        <w:t xml:space="preserve">Carla practices law through her law in Australia and therefore, her company must have been registered for GST. In the case, it is pointed that she makes a revenue of $80,000 from her law her and does not </w:t>
      </w:r>
      <w:r w:rsidR="00F671DE" w:rsidRPr="004F4E38">
        <w:rPr>
          <w:rFonts w:ascii="Times New Roman" w:hAnsi="Times New Roman" w:cs="Times New Roman"/>
          <w:sz w:val="24"/>
          <w:szCs w:val="24"/>
        </w:rPr>
        <w:t xml:space="preserve">have any employee. </w:t>
      </w:r>
      <w:r w:rsidR="00A228B4" w:rsidRPr="004F4E38">
        <w:rPr>
          <w:rFonts w:ascii="Times New Roman" w:hAnsi="Times New Roman" w:cs="Times New Roman"/>
          <w:sz w:val="24"/>
          <w:szCs w:val="24"/>
        </w:rPr>
        <w:t xml:space="preserve">This means that Carla’s law firm is subjected to </w:t>
      </w:r>
      <w:r w:rsidR="00F967C6" w:rsidRPr="004F4E38">
        <w:rPr>
          <w:rFonts w:ascii="Times New Roman" w:hAnsi="Times New Roman" w:cs="Times New Roman"/>
          <w:sz w:val="24"/>
          <w:szCs w:val="24"/>
        </w:rPr>
        <w:t xml:space="preserve">GST, which is supposed to pay annually. </w:t>
      </w:r>
      <w:r w:rsidR="00E742CA" w:rsidRPr="004F4E38">
        <w:rPr>
          <w:rFonts w:ascii="Times New Roman" w:hAnsi="Times New Roman" w:cs="Times New Roman"/>
          <w:sz w:val="24"/>
          <w:szCs w:val="24"/>
        </w:rPr>
        <w:t xml:space="preserve">It is important to point that good service tax is payable </w:t>
      </w:r>
      <w:r w:rsidR="00E742CA" w:rsidRPr="004F4E38">
        <w:rPr>
          <w:rFonts w:ascii="Times New Roman" w:hAnsi="Times New Roman" w:cs="Times New Roman"/>
          <w:sz w:val="24"/>
          <w:szCs w:val="24"/>
        </w:rPr>
        <w:lastRenderedPageBreak/>
        <w:t>by companies. It is different from income tax which is supposed to be paid by an individual based on the incomes earned from different works done within Australia and when living in Austral</w:t>
      </w:r>
      <w:r w:rsidR="00ED066C" w:rsidRPr="004F4E38">
        <w:rPr>
          <w:rFonts w:ascii="Times New Roman" w:hAnsi="Times New Roman" w:cs="Times New Roman"/>
          <w:sz w:val="24"/>
          <w:szCs w:val="24"/>
        </w:rPr>
        <w:t>ia.</w:t>
      </w:r>
    </w:p>
    <w:p w:rsidR="000D1F81" w:rsidRPr="004F4E38" w:rsidRDefault="000D1F81" w:rsidP="00CE773D">
      <w:pPr>
        <w:spacing w:after="0" w:line="480" w:lineRule="auto"/>
        <w:ind w:firstLine="720"/>
        <w:jc w:val="center"/>
        <w:rPr>
          <w:rFonts w:ascii="Times New Roman" w:hAnsi="Times New Roman" w:cs="Times New Roman"/>
          <w:b/>
          <w:sz w:val="24"/>
          <w:szCs w:val="24"/>
        </w:rPr>
      </w:pPr>
      <w:r w:rsidRPr="004F4E38">
        <w:rPr>
          <w:rFonts w:ascii="Times New Roman" w:hAnsi="Times New Roman" w:cs="Times New Roman"/>
          <w:b/>
          <w:sz w:val="24"/>
          <w:szCs w:val="24"/>
        </w:rPr>
        <w:t>Capital gains tax</w:t>
      </w:r>
    </w:p>
    <w:p w:rsidR="000D1F81" w:rsidRPr="004F4E38" w:rsidRDefault="000D1F81" w:rsidP="00DC3123">
      <w:pPr>
        <w:spacing w:after="0" w:line="480" w:lineRule="auto"/>
        <w:ind w:firstLine="720"/>
        <w:rPr>
          <w:rFonts w:ascii="Times New Roman" w:hAnsi="Times New Roman" w:cs="Times New Roman"/>
          <w:sz w:val="24"/>
          <w:szCs w:val="24"/>
        </w:rPr>
      </w:pPr>
      <w:r w:rsidRPr="004F4E38">
        <w:rPr>
          <w:rFonts w:ascii="Times New Roman" w:hAnsi="Times New Roman" w:cs="Times New Roman"/>
          <w:sz w:val="24"/>
          <w:szCs w:val="24"/>
        </w:rPr>
        <w:t xml:space="preserve">Capital gains tax is described as any gains from the sales of property or shares in the stock market. </w:t>
      </w:r>
      <w:r w:rsidR="00A73E36" w:rsidRPr="004F4E38">
        <w:rPr>
          <w:rFonts w:ascii="Times New Roman" w:hAnsi="Times New Roman" w:cs="Times New Roman"/>
          <w:sz w:val="24"/>
          <w:szCs w:val="24"/>
        </w:rPr>
        <w:t xml:space="preserve">If a business has made loses from capital gain then, it is required for a business to account for those losses in the return. </w:t>
      </w:r>
      <w:r w:rsidR="00CE773D" w:rsidRPr="004F4E38">
        <w:rPr>
          <w:rFonts w:ascii="Times New Roman" w:hAnsi="Times New Roman" w:cs="Times New Roman"/>
          <w:sz w:val="24"/>
          <w:szCs w:val="24"/>
        </w:rPr>
        <w:t xml:space="preserve">In this case, it is pointed that </w:t>
      </w:r>
      <w:r w:rsidR="00F9554D" w:rsidRPr="004F4E38">
        <w:rPr>
          <w:rFonts w:ascii="Times New Roman" w:hAnsi="Times New Roman" w:cs="Times New Roman"/>
          <w:sz w:val="24"/>
          <w:szCs w:val="24"/>
        </w:rPr>
        <w:t>Carla sold</w:t>
      </w:r>
      <w:r w:rsidR="006168C2" w:rsidRPr="004F4E38">
        <w:rPr>
          <w:rFonts w:ascii="Times New Roman" w:hAnsi="Times New Roman" w:cs="Times New Roman"/>
          <w:sz w:val="24"/>
          <w:szCs w:val="24"/>
        </w:rPr>
        <w:t xml:space="preserve"> her shares from Australia bank at a rate of $1000 per share. According to capital gains tax, </w:t>
      </w:r>
      <w:r w:rsidR="00F9554D" w:rsidRPr="004F4E38">
        <w:rPr>
          <w:rFonts w:ascii="Times New Roman" w:hAnsi="Times New Roman" w:cs="Times New Roman"/>
          <w:sz w:val="24"/>
          <w:szCs w:val="24"/>
        </w:rPr>
        <w:t>this sale</w:t>
      </w:r>
      <w:r w:rsidR="006168C2" w:rsidRPr="004F4E38">
        <w:rPr>
          <w:rFonts w:ascii="Times New Roman" w:hAnsi="Times New Roman" w:cs="Times New Roman"/>
          <w:sz w:val="24"/>
          <w:szCs w:val="24"/>
        </w:rPr>
        <w:t xml:space="preserve"> of share will be subjected to </w:t>
      </w:r>
      <w:r w:rsidR="00F9554D" w:rsidRPr="004F4E38">
        <w:rPr>
          <w:rFonts w:ascii="Times New Roman" w:hAnsi="Times New Roman" w:cs="Times New Roman"/>
          <w:sz w:val="24"/>
          <w:szCs w:val="24"/>
        </w:rPr>
        <w:t xml:space="preserve">47% of the net gains. It means that </w:t>
      </w:r>
      <w:r w:rsidR="009E3AEB" w:rsidRPr="004F4E38">
        <w:rPr>
          <w:rFonts w:ascii="Times New Roman" w:hAnsi="Times New Roman" w:cs="Times New Roman"/>
          <w:sz w:val="24"/>
          <w:szCs w:val="24"/>
        </w:rPr>
        <w:t>her earning from the sale</w:t>
      </w:r>
      <w:r w:rsidR="00F9554D" w:rsidRPr="004F4E38">
        <w:rPr>
          <w:rFonts w:ascii="Times New Roman" w:hAnsi="Times New Roman" w:cs="Times New Roman"/>
          <w:sz w:val="24"/>
          <w:szCs w:val="24"/>
        </w:rPr>
        <w:t xml:space="preserve"> of shares approximated to be </w:t>
      </w:r>
      <w:r w:rsidR="009E3AEB" w:rsidRPr="004F4E38">
        <w:rPr>
          <w:rFonts w:ascii="Times New Roman" w:hAnsi="Times New Roman" w:cs="Times New Roman"/>
          <w:sz w:val="24"/>
          <w:szCs w:val="24"/>
        </w:rPr>
        <w:t>$2,000,000 would be subjected to 47</w:t>
      </w:r>
      <w:r w:rsidR="00031483" w:rsidRPr="004F4E38">
        <w:rPr>
          <w:rFonts w:ascii="Times New Roman" w:hAnsi="Times New Roman" w:cs="Times New Roman"/>
          <w:sz w:val="24"/>
          <w:szCs w:val="24"/>
        </w:rPr>
        <w:t>%</w:t>
      </w:r>
      <w:sdt>
        <w:sdtPr>
          <w:rPr>
            <w:rFonts w:ascii="Times New Roman" w:hAnsi="Times New Roman" w:cs="Times New Roman"/>
            <w:sz w:val="24"/>
            <w:szCs w:val="24"/>
          </w:rPr>
          <w:id w:val="36122377"/>
          <w:citation/>
        </w:sdtPr>
        <w:sdtContent>
          <w:r w:rsidR="003E31C5" w:rsidRPr="004F4E38">
            <w:rPr>
              <w:rFonts w:ascii="Times New Roman" w:hAnsi="Times New Roman" w:cs="Times New Roman"/>
              <w:sz w:val="24"/>
              <w:szCs w:val="24"/>
            </w:rPr>
            <w:fldChar w:fldCharType="begin"/>
          </w:r>
          <w:r w:rsidR="003E31C5" w:rsidRPr="004F4E38">
            <w:rPr>
              <w:rFonts w:ascii="Times New Roman" w:hAnsi="Times New Roman" w:cs="Times New Roman"/>
              <w:sz w:val="24"/>
              <w:szCs w:val="24"/>
            </w:rPr>
            <w:instrText xml:space="preserve"> CITATION Hal17 \p 14 \l 1033  </w:instrText>
          </w:r>
          <w:r w:rsidR="003E31C5" w:rsidRPr="004F4E38">
            <w:rPr>
              <w:rFonts w:ascii="Times New Roman" w:hAnsi="Times New Roman" w:cs="Times New Roman"/>
              <w:sz w:val="24"/>
              <w:szCs w:val="24"/>
            </w:rPr>
            <w:fldChar w:fldCharType="separate"/>
          </w:r>
          <w:r w:rsidR="003E31C5" w:rsidRPr="004F4E38">
            <w:rPr>
              <w:rFonts w:ascii="Times New Roman" w:hAnsi="Times New Roman" w:cs="Times New Roman"/>
              <w:noProof/>
              <w:sz w:val="24"/>
              <w:szCs w:val="24"/>
            </w:rPr>
            <w:t xml:space="preserve"> (Hall and Willcock Advocate, 2017, p. 14)</w:t>
          </w:r>
          <w:r w:rsidR="003E31C5" w:rsidRPr="004F4E38">
            <w:rPr>
              <w:rFonts w:ascii="Times New Roman" w:hAnsi="Times New Roman" w:cs="Times New Roman"/>
              <w:sz w:val="24"/>
              <w:szCs w:val="24"/>
            </w:rPr>
            <w:fldChar w:fldCharType="end"/>
          </w:r>
        </w:sdtContent>
      </w:sdt>
      <w:r w:rsidR="00031483" w:rsidRPr="004F4E38">
        <w:rPr>
          <w:rFonts w:ascii="Times New Roman" w:hAnsi="Times New Roman" w:cs="Times New Roman"/>
          <w:sz w:val="24"/>
          <w:szCs w:val="24"/>
        </w:rPr>
        <w:t xml:space="preserve">. </w:t>
      </w:r>
    </w:p>
    <w:p w:rsidR="006A4455" w:rsidRPr="004F4E38" w:rsidRDefault="006A4455" w:rsidP="0091170B">
      <w:pPr>
        <w:spacing w:after="0" w:line="480" w:lineRule="auto"/>
        <w:ind w:firstLine="720"/>
        <w:jc w:val="center"/>
        <w:rPr>
          <w:rFonts w:ascii="Times New Roman" w:hAnsi="Times New Roman" w:cs="Times New Roman"/>
          <w:b/>
          <w:sz w:val="24"/>
          <w:szCs w:val="24"/>
        </w:rPr>
      </w:pPr>
      <w:r w:rsidRPr="004F4E38">
        <w:rPr>
          <w:rFonts w:ascii="Times New Roman" w:hAnsi="Times New Roman" w:cs="Times New Roman"/>
          <w:b/>
          <w:sz w:val="24"/>
          <w:szCs w:val="24"/>
        </w:rPr>
        <w:t>Income tax</w:t>
      </w:r>
    </w:p>
    <w:p w:rsidR="00DB7F81" w:rsidRPr="004F4E38" w:rsidRDefault="00AF484F" w:rsidP="00DC3123">
      <w:pPr>
        <w:spacing w:after="0" w:line="480" w:lineRule="auto"/>
        <w:ind w:firstLine="720"/>
        <w:rPr>
          <w:rFonts w:ascii="Times New Roman" w:hAnsi="Times New Roman" w:cs="Times New Roman"/>
          <w:sz w:val="24"/>
          <w:szCs w:val="24"/>
        </w:rPr>
      </w:pPr>
      <w:r w:rsidRPr="004F4E38">
        <w:rPr>
          <w:rFonts w:ascii="Times New Roman" w:hAnsi="Times New Roman" w:cs="Times New Roman"/>
          <w:sz w:val="24"/>
          <w:szCs w:val="24"/>
        </w:rPr>
        <w:t>I</w:t>
      </w:r>
      <w:r w:rsidR="00DB7F81" w:rsidRPr="004F4E38">
        <w:rPr>
          <w:rFonts w:ascii="Times New Roman" w:hAnsi="Times New Roman" w:cs="Times New Roman"/>
          <w:sz w:val="24"/>
          <w:szCs w:val="24"/>
        </w:rPr>
        <w:t xml:space="preserve">ncome tax is paid based on income made by the business. </w:t>
      </w:r>
      <w:r w:rsidR="00BA18BC" w:rsidRPr="004F4E38">
        <w:rPr>
          <w:rFonts w:ascii="Times New Roman" w:hAnsi="Times New Roman" w:cs="Times New Roman"/>
          <w:sz w:val="24"/>
          <w:szCs w:val="24"/>
        </w:rPr>
        <w:t xml:space="preserve">It is an important type of taxation for Australia government. </w:t>
      </w:r>
      <w:r w:rsidR="008B3DA3" w:rsidRPr="004F4E38">
        <w:rPr>
          <w:rFonts w:ascii="Times New Roman" w:hAnsi="Times New Roman" w:cs="Times New Roman"/>
          <w:sz w:val="24"/>
          <w:szCs w:val="24"/>
        </w:rPr>
        <w:t>The income taxation to individual is done or calculated progressively</w:t>
      </w:r>
      <w:r w:rsidR="00725F4A" w:rsidRPr="004F4E38">
        <w:rPr>
          <w:rFonts w:ascii="Times New Roman" w:hAnsi="Times New Roman" w:cs="Times New Roman"/>
          <w:sz w:val="24"/>
          <w:szCs w:val="24"/>
        </w:rPr>
        <w:t xml:space="preserve">. </w:t>
      </w:r>
      <w:r w:rsidR="00CB7D1F" w:rsidRPr="004F4E38">
        <w:rPr>
          <w:rFonts w:ascii="Times New Roman" w:hAnsi="Times New Roman" w:cs="Times New Roman"/>
          <w:sz w:val="24"/>
          <w:szCs w:val="24"/>
        </w:rPr>
        <w:t>The income taxation is calculated at the rate from 0% to 45%</w:t>
      </w:r>
      <w:r w:rsidR="00AF784C" w:rsidRPr="004F4E38">
        <w:rPr>
          <w:rFonts w:ascii="Times New Roman" w:hAnsi="Times New Roman" w:cs="Times New Roman"/>
          <w:sz w:val="24"/>
          <w:szCs w:val="24"/>
        </w:rPr>
        <w:t xml:space="preserve"> of an individual income from business income. </w:t>
      </w:r>
      <w:r w:rsidR="00915B10" w:rsidRPr="004F4E38">
        <w:rPr>
          <w:rFonts w:ascii="Times New Roman" w:hAnsi="Times New Roman" w:cs="Times New Roman"/>
          <w:sz w:val="24"/>
          <w:szCs w:val="24"/>
        </w:rPr>
        <w:t xml:space="preserve">Carla will also be expected to pay even </w:t>
      </w:r>
      <w:r w:rsidR="00062635" w:rsidRPr="004F4E38">
        <w:rPr>
          <w:rFonts w:ascii="Times New Roman" w:hAnsi="Times New Roman" w:cs="Times New Roman"/>
          <w:sz w:val="24"/>
          <w:szCs w:val="24"/>
        </w:rPr>
        <w:t>Medicare</w:t>
      </w:r>
      <w:r w:rsidR="00915B10" w:rsidRPr="004F4E38">
        <w:rPr>
          <w:rFonts w:ascii="Times New Roman" w:hAnsi="Times New Roman" w:cs="Times New Roman"/>
          <w:sz w:val="24"/>
          <w:szCs w:val="24"/>
        </w:rPr>
        <w:t xml:space="preserve"> levy </w:t>
      </w:r>
      <w:r w:rsidR="005C0976" w:rsidRPr="004F4E38">
        <w:rPr>
          <w:rFonts w:ascii="Times New Roman" w:hAnsi="Times New Roman" w:cs="Times New Roman"/>
          <w:sz w:val="24"/>
          <w:szCs w:val="24"/>
        </w:rPr>
        <w:t>of 2%</w:t>
      </w:r>
      <w:r w:rsidR="00172156" w:rsidRPr="004F4E38">
        <w:rPr>
          <w:rFonts w:ascii="Times New Roman" w:hAnsi="Times New Roman" w:cs="Times New Roman"/>
          <w:sz w:val="24"/>
          <w:szCs w:val="24"/>
        </w:rPr>
        <w:t xml:space="preserve">. The company tax rate is 30% of the income generated by the company, and non individual nonresident tax is depends on the income of an individual. </w:t>
      </w:r>
      <w:r w:rsidR="00DF6DB0" w:rsidRPr="004F4E38">
        <w:rPr>
          <w:rFonts w:ascii="Times New Roman" w:hAnsi="Times New Roman" w:cs="Times New Roman"/>
          <w:sz w:val="24"/>
          <w:szCs w:val="24"/>
        </w:rPr>
        <w:t xml:space="preserve"> The taxable income tax of Australia required that any income ranges from $1 – $90,000 is taxed at the rate of 32.5%, </w:t>
      </w:r>
      <w:r w:rsidR="00A823F0" w:rsidRPr="004F4E38">
        <w:rPr>
          <w:rFonts w:ascii="Times New Roman" w:hAnsi="Times New Roman" w:cs="Times New Roman"/>
          <w:sz w:val="24"/>
          <w:szCs w:val="24"/>
        </w:rPr>
        <w:t>$92,001 - $180,000 is subj</w:t>
      </w:r>
      <w:r w:rsidR="00EF1DEE" w:rsidRPr="004F4E38">
        <w:rPr>
          <w:rFonts w:ascii="Times New Roman" w:hAnsi="Times New Roman" w:cs="Times New Roman"/>
          <w:sz w:val="24"/>
          <w:szCs w:val="24"/>
        </w:rPr>
        <w:t xml:space="preserve">ected to a tax rate of </w:t>
      </w:r>
      <w:r w:rsidR="00DE21B0" w:rsidRPr="004F4E38">
        <w:rPr>
          <w:rFonts w:ascii="Times New Roman" w:hAnsi="Times New Roman" w:cs="Times New Roman"/>
          <w:sz w:val="24"/>
          <w:szCs w:val="24"/>
        </w:rPr>
        <w:t>32.5 to</w:t>
      </w:r>
      <w:r w:rsidR="00EF1DEE" w:rsidRPr="004F4E38">
        <w:rPr>
          <w:rFonts w:ascii="Times New Roman" w:hAnsi="Times New Roman" w:cs="Times New Roman"/>
          <w:sz w:val="24"/>
          <w:szCs w:val="24"/>
        </w:rPr>
        <w:t xml:space="preserve"> </w:t>
      </w:r>
      <w:r w:rsidR="00A33BC8" w:rsidRPr="004F4E38">
        <w:rPr>
          <w:rFonts w:ascii="Times New Roman" w:hAnsi="Times New Roman" w:cs="Times New Roman"/>
          <w:sz w:val="24"/>
          <w:szCs w:val="24"/>
        </w:rPr>
        <w:t>34.8</w:t>
      </w:r>
      <w:r w:rsidR="00447EEA" w:rsidRPr="004F4E38">
        <w:rPr>
          <w:rFonts w:ascii="Times New Roman" w:hAnsi="Times New Roman" w:cs="Times New Roman"/>
          <w:sz w:val="24"/>
          <w:szCs w:val="24"/>
        </w:rPr>
        <w:t>% and $180,001 and over is subjected to an income tax rate of 34.8 to less than 45%</w:t>
      </w:r>
      <w:sdt>
        <w:sdtPr>
          <w:rPr>
            <w:rFonts w:ascii="Times New Roman" w:hAnsi="Times New Roman" w:cs="Times New Roman"/>
            <w:sz w:val="24"/>
            <w:szCs w:val="24"/>
          </w:rPr>
          <w:id w:val="36122362"/>
          <w:citation/>
        </w:sdtPr>
        <w:sdtContent>
          <w:r w:rsidR="00B42E50" w:rsidRPr="004F4E38">
            <w:rPr>
              <w:rFonts w:ascii="Times New Roman" w:hAnsi="Times New Roman" w:cs="Times New Roman"/>
              <w:sz w:val="24"/>
              <w:szCs w:val="24"/>
            </w:rPr>
            <w:fldChar w:fldCharType="begin"/>
          </w:r>
          <w:r w:rsidR="00B42E50" w:rsidRPr="004F4E38">
            <w:rPr>
              <w:rFonts w:ascii="Times New Roman" w:hAnsi="Times New Roman" w:cs="Times New Roman"/>
              <w:sz w:val="24"/>
              <w:szCs w:val="24"/>
            </w:rPr>
            <w:instrText xml:space="preserve"> CITATION War10 \p 23 \l 1033  </w:instrText>
          </w:r>
          <w:r w:rsidR="00B42E50" w:rsidRPr="004F4E38">
            <w:rPr>
              <w:rFonts w:ascii="Times New Roman" w:hAnsi="Times New Roman" w:cs="Times New Roman"/>
              <w:sz w:val="24"/>
              <w:szCs w:val="24"/>
            </w:rPr>
            <w:fldChar w:fldCharType="separate"/>
          </w:r>
          <w:r w:rsidR="00B42E50" w:rsidRPr="004F4E38">
            <w:rPr>
              <w:rFonts w:ascii="Times New Roman" w:hAnsi="Times New Roman" w:cs="Times New Roman"/>
              <w:noProof/>
              <w:sz w:val="24"/>
              <w:szCs w:val="24"/>
            </w:rPr>
            <w:t xml:space="preserve"> (Warner, Pengilley, &amp; Glass, 2010, p. 23)</w:t>
          </w:r>
          <w:r w:rsidR="00B42E50" w:rsidRPr="004F4E38">
            <w:rPr>
              <w:rFonts w:ascii="Times New Roman" w:hAnsi="Times New Roman" w:cs="Times New Roman"/>
              <w:sz w:val="24"/>
              <w:szCs w:val="24"/>
            </w:rPr>
            <w:fldChar w:fldCharType="end"/>
          </w:r>
        </w:sdtContent>
      </w:sdt>
      <w:r w:rsidR="00447EEA" w:rsidRPr="004F4E38">
        <w:rPr>
          <w:rFonts w:ascii="Times New Roman" w:hAnsi="Times New Roman" w:cs="Times New Roman"/>
          <w:sz w:val="24"/>
          <w:szCs w:val="24"/>
        </w:rPr>
        <w:t xml:space="preserve">. </w:t>
      </w:r>
    </w:p>
    <w:p w:rsidR="00F51061" w:rsidRPr="004F4E38" w:rsidRDefault="00427329" w:rsidP="00DC3123">
      <w:pPr>
        <w:spacing w:after="0" w:line="480" w:lineRule="auto"/>
        <w:ind w:firstLine="720"/>
        <w:rPr>
          <w:rFonts w:ascii="Times New Roman" w:hAnsi="Times New Roman" w:cs="Times New Roman"/>
          <w:sz w:val="24"/>
          <w:szCs w:val="24"/>
        </w:rPr>
      </w:pPr>
      <w:r w:rsidRPr="004F4E38">
        <w:rPr>
          <w:rFonts w:ascii="Times New Roman" w:hAnsi="Times New Roman" w:cs="Times New Roman"/>
          <w:sz w:val="24"/>
          <w:szCs w:val="24"/>
        </w:rPr>
        <w:t xml:space="preserve">Carla total income will be tabulated based on all her incomes from the organizations she worked for within Australia. </w:t>
      </w:r>
      <w:r w:rsidR="00EE1446" w:rsidRPr="004F4E38">
        <w:rPr>
          <w:rFonts w:ascii="Times New Roman" w:hAnsi="Times New Roman" w:cs="Times New Roman"/>
          <w:sz w:val="24"/>
          <w:szCs w:val="24"/>
        </w:rPr>
        <w:t xml:space="preserve">Carla law firm obtains </w:t>
      </w:r>
      <w:r w:rsidR="007C0EDF" w:rsidRPr="004F4E38">
        <w:rPr>
          <w:rFonts w:ascii="Times New Roman" w:hAnsi="Times New Roman" w:cs="Times New Roman"/>
          <w:sz w:val="24"/>
          <w:szCs w:val="24"/>
        </w:rPr>
        <w:t>revenue</w:t>
      </w:r>
      <w:r w:rsidR="00EE1446" w:rsidRPr="004F4E38">
        <w:rPr>
          <w:rFonts w:ascii="Times New Roman" w:hAnsi="Times New Roman" w:cs="Times New Roman"/>
          <w:sz w:val="24"/>
          <w:szCs w:val="24"/>
        </w:rPr>
        <w:t xml:space="preserve"> of $80,000</w:t>
      </w:r>
      <w:r w:rsidR="00B10E59" w:rsidRPr="004F4E38">
        <w:rPr>
          <w:rFonts w:ascii="Times New Roman" w:hAnsi="Times New Roman" w:cs="Times New Roman"/>
          <w:sz w:val="24"/>
          <w:szCs w:val="24"/>
        </w:rPr>
        <w:t xml:space="preserve"> income </w:t>
      </w:r>
      <w:r w:rsidR="00631B30" w:rsidRPr="004F4E38">
        <w:rPr>
          <w:rFonts w:ascii="Times New Roman" w:hAnsi="Times New Roman" w:cs="Times New Roman"/>
          <w:sz w:val="24"/>
          <w:szCs w:val="24"/>
        </w:rPr>
        <w:t xml:space="preserve">per </w:t>
      </w:r>
      <w:r w:rsidR="00356A3B" w:rsidRPr="004F4E38">
        <w:rPr>
          <w:rFonts w:ascii="Times New Roman" w:hAnsi="Times New Roman" w:cs="Times New Roman"/>
          <w:sz w:val="24"/>
          <w:szCs w:val="24"/>
        </w:rPr>
        <w:t>years;</w:t>
      </w:r>
      <w:r w:rsidR="00631B30" w:rsidRPr="004F4E38">
        <w:rPr>
          <w:rFonts w:ascii="Times New Roman" w:hAnsi="Times New Roman" w:cs="Times New Roman"/>
          <w:sz w:val="24"/>
          <w:szCs w:val="24"/>
        </w:rPr>
        <w:t xml:space="preserve"> </w:t>
      </w:r>
      <w:r w:rsidR="00A83037" w:rsidRPr="004F4E38">
        <w:rPr>
          <w:rFonts w:ascii="Times New Roman" w:hAnsi="Times New Roman" w:cs="Times New Roman"/>
          <w:sz w:val="24"/>
          <w:szCs w:val="24"/>
        </w:rPr>
        <w:t xml:space="preserve">she </w:t>
      </w:r>
      <w:r w:rsidR="00A83037" w:rsidRPr="004F4E38">
        <w:rPr>
          <w:rFonts w:ascii="Times New Roman" w:hAnsi="Times New Roman" w:cs="Times New Roman"/>
          <w:sz w:val="24"/>
          <w:szCs w:val="24"/>
        </w:rPr>
        <w:lastRenderedPageBreak/>
        <w:t xml:space="preserve">does not have any employees in her law firm and does live in </w:t>
      </w:r>
      <w:r w:rsidR="00EE36AC" w:rsidRPr="004F4E38">
        <w:rPr>
          <w:rFonts w:ascii="Times New Roman" w:hAnsi="Times New Roman" w:cs="Times New Roman"/>
          <w:sz w:val="24"/>
          <w:szCs w:val="24"/>
        </w:rPr>
        <w:t>Auckland</w:t>
      </w:r>
      <w:r w:rsidR="004902DB" w:rsidRPr="004F4E38">
        <w:rPr>
          <w:rFonts w:ascii="Times New Roman" w:hAnsi="Times New Roman" w:cs="Times New Roman"/>
          <w:sz w:val="24"/>
          <w:szCs w:val="24"/>
        </w:rPr>
        <w:t xml:space="preserve">, New Zealand. </w:t>
      </w:r>
      <w:r w:rsidR="00612F91" w:rsidRPr="004F4E38">
        <w:rPr>
          <w:rFonts w:ascii="Times New Roman" w:hAnsi="Times New Roman" w:cs="Times New Roman"/>
          <w:sz w:val="24"/>
          <w:szCs w:val="24"/>
        </w:rPr>
        <w:t xml:space="preserve">Carla also makes $80,000 as a consultant </w:t>
      </w:r>
      <w:r w:rsidR="002D15A7" w:rsidRPr="004F4E38">
        <w:rPr>
          <w:rFonts w:ascii="Times New Roman" w:hAnsi="Times New Roman" w:cs="Times New Roman"/>
          <w:sz w:val="24"/>
          <w:szCs w:val="24"/>
        </w:rPr>
        <w:t>Australian law firm (Law Firm X or LFX)</w:t>
      </w:r>
      <w:r w:rsidR="006234A2" w:rsidRPr="004F4E38">
        <w:rPr>
          <w:rFonts w:ascii="Times New Roman" w:hAnsi="Times New Roman" w:cs="Times New Roman"/>
          <w:sz w:val="24"/>
          <w:szCs w:val="24"/>
        </w:rPr>
        <w:t>.</w:t>
      </w:r>
      <w:r w:rsidR="00547108" w:rsidRPr="004F4E38">
        <w:rPr>
          <w:rFonts w:ascii="Times New Roman" w:hAnsi="Times New Roman" w:cs="Times New Roman"/>
          <w:sz w:val="24"/>
          <w:szCs w:val="24"/>
        </w:rPr>
        <w:t xml:space="preserve"> </w:t>
      </w:r>
      <w:r w:rsidR="001879B8" w:rsidRPr="004F4E38">
        <w:rPr>
          <w:rFonts w:ascii="Times New Roman" w:hAnsi="Times New Roman" w:cs="Times New Roman"/>
          <w:sz w:val="24"/>
          <w:szCs w:val="24"/>
        </w:rPr>
        <w:t>Carla’s annual total income is therefore, estimated to be above $180,000</w:t>
      </w:r>
      <w:r w:rsidR="00902FB9" w:rsidRPr="004F4E38">
        <w:rPr>
          <w:rFonts w:ascii="Times New Roman" w:hAnsi="Times New Roman" w:cs="Times New Roman"/>
          <w:sz w:val="24"/>
          <w:szCs w:val="24"/>
        </w:rPr>
        <w:t>. In this case</w:t>
      </w:r>
      <w:r w:rsidR="001879B8" w:rsidRPr="004F4E38">
        <w:rPr>
          <w:rFonts w:ascii="Times New Roman" w:hAnsi="Times New Roman" w:cs="Times New Roman"/>
          <w:sz w:val="24"/>
          <w:szCs w:val="24"/>
        </w:rPr>
        <w:t xml:space="preserve">, she will be expected to pay income tax </w:t>
      </w:r>
      <w:r w:rsidR="00982FBD" w:rsidRPr="004F4E38">
        <w:rPr>
          <w:rFonts w:ascii="Times New Roman" w:hAnsi="Times New Roman" w:cs="Times New Roman"/>
          <w:sz w:val="24"/>
          <w:szCs w:val="24"/>
        </w:rPr>
        <w:t xml:space="preserve">of 45% of the total income, for all the revenue she earned as a resident of Australia. </w:t>
      </w:r>
      <w:r w:rsidR="000B7B6D" w:rsidRPr="004F4E38">
        <w:rPr>
          <w:rFonts w:ascii="Times New Roman" w:hAnsi="Times New Roman" w:cs="Times New Roman"/>
          <w:sz w:val="24"/>
          <w:szCs w:val="24"/>
        </w:rPr>
        <w:t xml:space="preserve">However, the </w:t>
      </w:r>
      <w:r w:rsidR="00ED5071" w:rsidRPr="004F4E38">
        <w:rPr>
          <w:rFonts w:ascii="Times New Roman" w:hAnsi="Times New Roman" w:cs="Times New Roman"/>
          <w:sz w:val="24"/>
          <w:szCs w:val="24"/>
        </w:rPr>
        <w:t>consultancy</w:t>
      </w:r>
      <w:r w:rsidR="000B7B6D" w:rsidRPr="004F4E38">
        <w:rPr>
          <w:rFonts w:ascii="Times New Roman" w:hAnsi="Times New Roman" w:cs="Times New Roman"/>
          <w:sz w:val="24"/>
          <w:szCs w:val="24"/>
        </w:rPr>
        <w:t xml:space="preserve"> income </w:t>
      </w:r>
      <w:r w:rsidR="00ED5071" w:rsidRPr="004F4E38">
        <w:rPr>
          <w:rFonts w:ascii="Times New Roman" w:hAnsi="Times New Roman" w:cs="Times New Roman"/>
          <w:sz w:val="24"/>
          <w:szCs w:val="24"/>
        </w:rPr>
        <w:t xml:space="preserve">of $80,000 from </w:t>
      </w:r>
      <w:r w:rsidR="0059063F" w:rsidRPr="004F4E38">
        <w:rPr>
          <w:rFonts w:ascii="Times New Roman" w:hAnsi="Times New Roman" w:cs="Times New Roman"/>
          <w:sz w:val="24"/>
          <w:szCs w:val="24"/>
        </w:rPr>
        <w:t xml:space="preserve">Law Firm X or LFX will not be subjected to income tax. It is pointed that Carla works for Law Firm X as a consultant and stays in Auckland </w:t>
      </w:r>
      <w:r w:rsidR="00104641" w:rsidRPr="004F4E38">
        <w:rPr>
          <w:rFonts w:ascii="Times New Roman" w:hAnsi="Times New Roman" w:cs="Times New Roman"/>
          <w:sz w:val="24"/>
          <w:szCs w:val="24"/>
        </w:rPr>
        <w:t>New</w:t>
      </w:r>
      <w:r w:rsidR="0059063F" w:rsidRPr="004F4E38">
        <w:rPr>
          <w:rFonts w:ascii="Times New Roman" w:hAnsi="Times New Roman" w:cs="Times New Roman"/>
          <w:sz w:val="24"/>
          <w:szCs w:val="24"/>
        </w:rPr>
        <w:t xml:space="preserve"> Zealand during the time. The fact that she stays in Auckland </w:t>
      </w:r>
      <w:r w:rsidR="00104641" w:rsidRPr="004F4E38">
        <w:rPr>
          <w:rFonts w:ascii="Times New Roman" w:hAnsi="Times New Roman" w:cs="Times New Roman"/>
          <w:sz w:val="24"/>
          <w:szCs w:val="24"/>
        </w:rPr>
        <w:t>New</w:t>
      </w:r>
      <w:r w:rsidR="007B2ED3" w:rsidRPr="004F4E38">
        <w:rPr>
          <w:rFonts w:ascii="Times New Roman" w:hAnsi="Times New Roman" w:cs="Times New Roman"/>
          <w:sz w:val="24"/>
          <w:szCs w:val="24"/>
        </w:rPr>
        <w:t xml:space="preserve"> Zealand does not make </w:t>
      </w:r>
      <w:r w:rsidR="00283A2D" w:rsidRPr="004F4E38">
        <w:rPr>
          <w:rFonts w:ascii="Times New Roman" w:hAnsi="Times New Roman" w:cs="Times New Roman"/>
          <w:sz w:val="24"/>
          <w:szCs w:val="24"/>
        </w:rPr>
        <w:t xml:space="preserve">liable to pay income </w:t>
      </w:r>
      <w:r w:rsidR="00E808E4" w:rsidRPr="004F4E38">
        <w:rPr>
          <w:rFonts w:ascii="Times New Roman" w:hAnsi="Times New Roman" w:cs="Times New Roman"/>
          <w:sz w:val="24"/>
          <w:szCs w:val="24"/>
        </w:rPr>
        <w:t xml:space="preserve">tax under </w:t>
      </w:r>
      <w:r w:rsidR="0059063F" w:rsidRPr="004F4E38">
        <w:rPr>
          <w:rFonts w:ascii="Times New Roman" w:hAnsi="Times New Roman" w:cs="Times New Roman"/>
          <w:sz w:val="24"/>
          <w:szCs w:val="24"/>
        </w:rPr>
        <w:t>Australia</w:t>
      </w:r>
      <w:r w:rsidR="001B159D" w:rsidRPr="004F4E38">
        <w:rPr>
          <w:rFonts w:ascii="Times New Roman" w:hAnsi="Times New Roman" w:cs="Times New Roman"/>
          <w:sz w:val="24"/>
          <w:szCs w:val="24"/>
        </w:rPr>
        <w:t xml:space="preserve"> tax income law</w:t>
      </w:r>
      <w:r w:rsidR="00F81CEA" w:rsidRPr="004F4E38">
        <w:rPr>
          <w:rFonts w:ascii="Times New Roman" w:hAnsi="Times New Roman" w:cs="Times New Roman"/>
          <w:sz w:val="24"/>
          <w:szCs w:val="24"/>
        </w:rPr>
        <w:t xml:space="preserve">. </w:t>
      </w:r>
      <w:r w:rsidR="00A13CC8" w:rsidRPr="004F4E38">
        <w:rPr>
          <w:rFonts w:ascii="Times New Roman" w:hAnsi="Times New Roman" w:cs="Times New Roman"/>
          <w:sz w:val="24"/>
          <w:szCs w:val="24"/>
        </w:rPr>
        <w:t xml:space="preserve">She is considered </w:t>
      </w:r>
      <w:r w:rsidR="005360FA" w:rsidRPr="004F4E38">
        <w:rPr>
          <w:rFonts w:ascii="Times New Roman" w:hAnsi="Times New Roman" w:cs="Times New Roman"/>
          <w:sz w:val="24"/>
          <w:szCs w:val="24"/>
        </w:rPr>
        <w:t>domicile because it was listed that her perman</w:t>
      </w:r>
      <w:r w:rsidR="006B7640" w:rsidRPr="004F4E38">
        <w:rPr>
          <w:rFonts w:ascii="Times New Roman" w:hAnsi="Times New Roman" w:cs="Times New Roman"/>
          <w:sz w:val="24"/>
          <w:szCs w:val="24"/>
        </w:rPr>
        <w:t>ent address was in New Zealand. This could be illustrated further based on the ruling of judges on three cases FCT v Applegate, where the judges ruled that only people whose permanent address is registered in Australia should be pay income tax</w:t>
      </w:r>
      <w:r w:rsidR="00B274BA" w:rsidRPr="004F4E38">
        <w:rPr>
          <w:rStyle w:val="FootnoteReference"/>
          <w:rFonts w:ascii="Times New Roman" w:hAnsi="Times New Roman" w:cs="Times New Roman"/>
          <w:sz w:val="24"/>
          <w:szCs w:val="24"/>
        </w:rPr>
        <w:footnoteReference w:id="2"/>
      </w:r>
      <w:r w:rsidR="006B7640" w:rsidRPr="004F4E38">
        <w:rPr>
          <w:rFonts w:ascii="Times New Roman" w:hAnsi="Times New Roman" w:cs="Times New Roman"/>
          <w:sz w:val="24"/>
          <w:szCs w:val="24"/>
        </w:rPr>
        <w:t xml:space="preserve">. </w:t>
      </w:r>
      <w:r w:rsidR="00A13CC8" w:rsidRPr="004F4E38">
        <w:rPr>
          <w:rFonts w:ascii="Times New Roman" w:hAnsi="Times New Roman" w:cs="Times New Roman"/>
          <w:sz w:val="24"/>
          <w:szCs w:val="24"/>
        </w:rPr>
        <w:t xml:space="preserve"> </w:t>
      </w:r>
      <w:r w:rsidR="00F81CEA" w:rsidRPr="004F4E38">
        <w:rPr>
          <w:rFonts w:ascii="Times New Roman" w:hAnsi="Times New Roman" w:cs="Times New Roman"/>
          <w:sz w:val="24"/>
          <w:szCs w:val="24"/>
        </w:rPr>
        <w:t xml:space="preserve">This is because during her period as a resident of New Auckland New Zealand, she was registered for Medical services in Australia and she still had an address in Australia. </w:t>
      </w:r>
    </w:p>
    <w:p w:rsidR="00427329" w:rsidRPr="004F4E38" w:rsidRDefault="00F82A55" w:rsidP="00DC3123">
      <w:pPr>
        <w:spacing w:after="0" w:line="480" w:lineRule="auto"/>
        <w:ind w:firstLine="720"/>
        <w:rPr>
          <w:rFonts w:ascii="Times New Roman" w:hAnsi="Times New Roman" w:cs="Times New Roman"/>
          <w:sz w:val="24"/>
          <w:szCs w:val="24"/>
        </w:rPr>
      </w:pPr>
      <w:r w:rsidRPr="004F4E38">
        <w:rPr>
          <w:rFonts w:ascii="Times New Roman" w:hAnsi="Times New Roman" w:cs="Times New Roman"/>
          <w:sz w:val="24"/>
          <w:szCs w:val="24"/>
        </w:rPr>
        <w:t xml:space="preserve">It is also noted that she was still working for a company in Australia as a consultant earning income. </w:t>
      </w:r>
      <w:r w:rsidR="00283A2D" w:rsidRPr="004F4E38">
        <w:rPr>
          <w:rFonts w:ascii="Times New Roman" w:hAnsi="Times New Roman" w:cs="Times New Roman"/>
          <w:sz w:val="24"/>
          <w:szCs w:val="24"/>
        </w:rPr>
        <w:t xml:space="preserve">According to the case </w:t>
      </w:r>
      <w:r w:rsidR="00F81CEA" w:rsidRPr="004F4E38">
        <w:rPr>
          <w:rFonts w:ascii="Times New Roman" w:hAnsi="Times New Roman" w:cs="Times New Roman"/>
          <w:sz w:val="24"/>
          <w:szCs w:val="24"/>
        </w:rPr>
        <w:t xml:space="preserve">  </w:t>
      </w:r>
      <w:r w:rsidR="00C23898" w:rsidRPr="004F4E38">
        <w:rPr>
          <w:rFonts w:ascii="Times New Roman" w:hAnsi="Times New Roman" w:cs="Times New Roman"/>
          <w:sz w:val="24"/>
          <w:szCs w:val="24"/>
        </w:rPr>
        <w:t xml:space="preserve">FCT v Applegate, it was pointed that </w:t>
      </w:r>
      <w:r w:rsidR="007426DD" w:rsidRPr="004F4E38">
        <w:rPr>
          <w:rFonts w:ascii="Times New Roman" w:hAnsi="Times New Roman" w:cs="Times New Roman"/>
          <w:sz w:val="24"/>
          <w:szCs w:val="24"/>
        </w:rPr>
        <w:t xml:space="preserve">there is an exception where there is </w:t>
      </w:r>
      <w:r w:rsidR="00793D49" w:rsidRPr="004F4E38">
        <w:rPr>
          <w:rFonts w:ascii="Times New Roman" w:hAnsi="Times New Roman" w:cs="Times New Roman"/>
          <w:sz w:val="24"/>
          <w:szCs w:val="24"/>
        </w:rPr>
        <w:t xml:space="preserve">a place of abode </w:t>
      </w:r>
      <w:r w:rsidR="00E76C42" w:rsidRPr="004F4E38">
        <w:rPr>
          <w:rFonts w:ascii="Times New Roman" w:hAnsi="Times New Roman" w:cs="Times New Roman"/>
          <w:sz w:val="24"/>
          <w:szCs w:val="24"/>
        </w:rPr>
        <w:t xml:space="preserve">outside Australia. </w:t>
      </w:r>
      <w:r w:rsidR="00EB5439" w:rsidRPr="004F4E38">
        <w:rPr>
          <w:rFonts w:ascii="Times New Roman" w:hAnsi="Times New Roman" w:cs="Times New Roman"/>
          <w:sz w:val="24"/>
          <w:szCs w:val="24"/>
        </w:rPr>
        <w:t>Und</w:t>
      </w:r>
      <w:r w:rsidR="004E1975" w:rsidRPr="004F4E38">
        <w:rPr>
          <w:rFonts w:ascii="Times New Roman" w:hAnsi="Times New Roman" w:cs="Times New Roman"/>
          <w:sz w:val="24"/>
          <w:szCs w:val="24"/>
        </w:rPr>
        <w:t>er the income tax assessment Act of 1932 – 1972 a person is also considered to as result of Australia only when he or she has been living in Australia for the last 6 months before</w:t>
      </w:r>
      <w:sdt>
        <w:sdtPr>
          <w:rPr>
            <w:rFonts w:ascii="Times New Roman" w:hAnsi="Times New Roman" w:cs="Times New Roman"/>
            <w:sz w:val="24"/>
            <w:szCs w:val="24"/>
          </w:rPr>
          <w:id w:val="36122376"/>
          <w:citation/>
        </w:sdtPr>
        <w:sdtContent>
          <w:r w:rsidR="00AB45D2" w:rsidRPr="004F4E38">
            <w:rPr>
              <w:rFonts w:ascii="Times New Roman" w:hAnsi="Times New Roman" w:cs="Times New Roman"/>
              <w:sz w:val="24"/>
              <w:szCs w:val="24"/>
            </w:rPr>
            <w:fldChar w:fldCharType="begin"/>
          </w:r>
          <w:r w:rsidR="00AB45D2" w:rsidRPr="004F4E38">
            <w:rPr>
              <w:rFonts w:ascii="Times New Roman" w:hAnsi="Times New Roman" w:cs="Times New Roman"/>
              <w:sz w:val="24"/>
              <w:szCs w:val="24"/>
            </w:rPr>
            <w:instrText xml:space="preserve"> CITATION Aus14 \p 21 \l 1033  </w:instrText>
          </w:r>
          <w:r w:rsidR="00AB45D2" w:rsidRPr="004F4E38">
            <w:rPr>
              <w:rFonts w:ascii="Times New Roman" w:hAnsi="Times New Roman" w:cs="Times New Roman"/>
              <w:sz w:val="24"/>
              <w:szCs w:val="24"/>
            </w:rPr>
            <w:fldChar w:fldCharType="separate"/>
          </w:r>
          <w:r w:rsidR="00AB45D2" w:rsidRPr="004F4E38">
            <w:rPr>
              <w:rFonts w:ascii="Times New Roman" w:hAnsi="Times New Roman" w:cs="Times New Roman"/>
              <w:noProof/>
              <w:sz w:val="24"/>
              <w:szCs w:val="24"/>
            </w:rPr>
            <w:t xml:space="preserve"> (Australia taxation office, 2014, p. 21)</w:t>
          </w:r>
          <w:r w:rsidR="00AB45D2" w:rsidRPr="004F4E38">
            <w:rPr>
              <w:rFonts w:ascii="Times New Roman" w:hAnsi="Times New Roman" w:cs="Times New Roman"/>
              <w:sz w:val="24"/>
              <w:szCs w:val="24"/>
            </w:rPr>
            <w:fldChar w:fldCharType="end"/>
          </w:r>
        </w:sdtContent>
      </w:sdt>
      <w:r w:rsidR="004E1975" w:rsidRPr="004F4E38">
        <w:rPr>
          <w:rFonts w:ascii="Times New Roman" w:hAnsi="Times New Roman" w:cs="Times New Roman"/>
          <w:sz w:val="24"/>
          <w:szCs w:val="24"/>
        </w:rPr>
        <w:t>. Therefore, it is evident that Carla was not a registered resident of Australian by the time she was working for a consultant firm and therefore, the income she made during that period would not be subjected to income tax as illustrated by the income tax law.</w:t>
      </w:r>
      <w:r w:rsidR="006429DD" w:rsidRPr="004F4E38">
        <w:rPr>
          <w:rFonts w:ascii="Times New Roman" w:hAnsi="Times New Roman" w:cs="Times New Roman"/>
          <w:sz w:val="24"/>
          <w:szCs w:val="24"/>
        </w:rPr>
        <w:t xml:space="preserve"> It was stated that the use of the permanent is everlasting and therefore, it should be a period of not less than six months for a </w:t>
      </w:r>
      <w:r w:rsidR="006429DD" w:rsidRPr="004F4E38">
        <w:rPr>
          <w:rFonts w:ascii="Times New Roman" w:hAnsi="Times New Roman" w:cs="Times New Roman"/>
          <w:sz w:val="24"/>
          <w:szCs w:val="24"/>
        </w:rPr>
        <w:lastRenderedPageBreak/>
        <w:t xml:space="preserve">person to be considered permanent resident to be able to pay income tax as required by the Australia income tax law. </w:t>
      </w:r>
      <w:r w:rsidR="004E1975" w:rsidRPr="004F4E38">
        <w:rPr>
          <w:rFonts w:ascii="Times New Roman" w:hAnsi="Times New Roman" w:cs="Times New Roman"/>
          <w:sz w:val="24"/>
          <w:szCs w:val="24"/>
        </w:rPr>
        <w:t xml:space="preserve"> However, the rest of her income she earned as a resident of Australia will be subjected </w:t>
      </w:r>
      <w:r w:rsidR="00104641" w:rsidRPr="004F4E38">
        <w:rPr>
          <w:rFonts w:ascii="Times New Roman" w:hAnsi="Times New Roman" w:cs="Times New Roman"/>
          <w:sz w:val="24"/>
          <w:szCs w:val="24"/>
        </w:rPr>
        <w:t xml:space="preserve">to income tax rate of 45%. </w:t>
      </w:r>
    </w:p>
    <w:p w:rsidR="00E717E4" w:rsidRPr="004F4E38" w:rsidRDefault="00E717E4" w:rsidP="00DD013D">
      <w:pPr>
        <w:spacing w:after="0" w:line="480" w:lineRule="auto"/>
        <w:ind w:firstLine="720"/>
        <w:jc w:val="center"/>
        <w:rPr>
          <w:rFonts w:ascii="Times New Roman" w:hAnsi="Times New Roman" w:cs="Times New Roman"/>
          <w:b/>
          <w:sz w:val="24"/>
          <w:szCs w:val="24"/>
        </w:rPr>
      </w:pPr>
      <w:r w:rsidRPr="004F4E38">
        <w:rPr>
          <w:rFonts w:ascii="Times New Roman" w:hAnsi="Times New Roman" w:cs="Times New Roman"/>
          <w:b/>
          <w:sz w:val="24"/>
          <w:szCs w:val="24"/>
        </w:rPr>
        <w:t>Fringe Benefit Tax (FBT)</w:t>
      </w:r>
    </w:p>
    <w:p w:rsidR="00A44020" w:rsidRPr="004F4E38" w:rsidRDefault="00A44020" w:rsidP="00DC3123">
      <w:pPr>
        <w:spacing w:after="0" w:line="480" w:lineRule="auto"/>
        <w:ind w:firstLine="720"/>
        <w:rPr>
          <w:rFonts w:ascii="Times New Roman" w:hAnsi="Times New Roman" w:cs="Times New Roman"/>
          <w:sz w:val="24"/>
          <w:szCs w:val="24"/>
        </w:rPr>
      </w:pPr>
      <w:r w:rsidRPr="004F4E38">
        <w:rPr>
          <w:rFonts w:ascii="Times New Roman" w:hAnsi="Times New Roman" w:cs="Times New Roman"/>
          <w:sz w:val="24"/>
          <w:szCs w:val="24"/>
        </w:rPr>
        <w:t xml:space="preserve">Fringe Benefit Tax (FBT) is </w:t>
      </w:r>
      <w:r w:rsidR="00031ED4" w:rsidRPr="004F4E38">
        <w:rPr>
          <w:rFonts w:ascii="Times New Roman" w:hAnsi="Times New Roman" w:cs="Times New Roman"/>
          <w:sz w:val="24"/>
          <w:szCs w:val="24"/>
        </w:rPr>
        <w:t xml:space="preserve">regarded as tax extended to every employee and it is taxable at the rate of 30%. </w:t>
      </w:r>
      <w:r w:rsidR="00553284" w:rsidRPr="004F4E38">
        <w:rPr>
          <w:rFonts w:ascii="Times New Roman" w:hAnsi="Times New Roman" w:cs="Times New Roman"/>
          <w:sz w:val="24"/>
          <w:szCs w:val="24"/>
        </w:rPr>
        <w:t xml:space="preserve"> It is calcu</w:t>
      </w:r>
      <w:r w:rsidR="00FE0D2E" w:rsidRPr="004F4E38">
        <w:rPr>
          <w:rFonts w:ascii="Times New Roman" w:hAnsi="Times New Roman" w:cs="Times New Roman"/>
          <w:sz w:val="24"/>
          <w:szCs w:val="24"/>
        </w:rPr>
        <w:t>la</w:t>
      </w:r>
      <w:r w:rsidR="00553284" w:rsidRPr="004F4E38">
        <w:rPr>
          <w:rFonts w:ascii="Times New Roman" w:hAnsi="Times New Roman" w:cs="Times New Roman"/>
          <w:sz w:val="24"/>
          <w:szCs w:val="24"/>
        </w:rPr>
        <w:t xml:space="preserve">ted separately </w:t>
      </w:r>
      <w:r w:rsidR="00FE0D2E" w:rsidRPr="004F4E38">
        <w:rPr>
          <w:rFonts w:ascii="Times New Roman" w:hAnsi="Times New Roman" w:cs="Times New Roman"/>
          <w:sz w:val="24"/>
          <w:szCs w:val="24"/>
        </w:rPr>
        <w:t xml:space="preserve">from </w:t>
      </w:r>
      <w:r w:rsidR="009019B1" w:rsidRPr="004F4E38">
        <w:rPr>
          <w:rFonts w:ascii="Times New Roman" w:hAnsi="Times New Roman" w:cs="Times New Roman"/>
          <w:sz w:val="24"/>
          <w:szCs w:val="24"/>
        </w:rPr>
        <w:t xml:space="preserve">PAYE. </w:t>
      </w:r>
      <w:r w:rsidR="00DF77BB" w:rsidRPr="004F4E38">
        <w:rPr>
          <w:rFonts w:ascii="Times New Roman" w:hAnsi="Times New Roman" w:cs="Times New Roman"/>
          <w:noProof/>
          <w:sz w:val="24"/>
          <w:szCs w:val="24"/>
        </w:rPr>
        <w:t>Tylor (2015, p. 21)</w:t>
      </w:r>
      <w:r w:rsidR="00FE0D2E" w:rsidRPr="004F4E38">
        <w:rPr>
          <w:rFonts w:ascii="Times New Roman" w:hAnsi="Times New Roman" w:cs="Times New Roman"/>
          <w:sz w:val="24"/>
          <w:szCs w:val="24"/>
        </w:rPr>
        <w:t xml:space="preserve"> </w:t>
      </w:r>
      <w:r w:rsidR="00DF77BB" w:rsidRPr="004F4E38">
        <w:rPr>
          <w:rFonts w:ascii="Times New Roman" w:hAnsi="Times New Roman" w:cs="Times New Roman"/>
          <w:sz w:val="24"/>
          <w:szCs w:val="24"/>
        </w:rPr>
        <w:t>pointed</w:t>
      </w:r>
      <w:r w:rsidR="00FE0D2E" w:rsidRPr="004F4E38">
        <w:rPr>
          <w:rFonts w:ascii="Times New Roman" w:hAnsi="Times New Roman" w:cs="Times New Roman"/>
          <w:sz w:val="24"/>
          <w:szCs w:val="24"/>
        </w:rPr>
        <w:t xml:space="preserve"> out that </w:t>
      </w:r>
      <w:r w:rsidR="009019B1" w:rsidRPr="004F4E38">
        <w:rPr>
          <w:rFonts w:ascii="Times New Roman" w:hAnsi="Times New Roman" w:cs="Times New Roman"/>
          <w:sz w:val="24"/>
          <w:szCs w:val="24"/>
        </w:rPr>
        <w:t xml:space="preserve">Fringe Benefit Tax  are bonuses, </w:t>
      </w:r>
      <w:r w:rsidR="008E065C" w:rsidRPr="004F4E38">
        <w:rPr>
          <w:rFonts w:ascii="Times New Roman" w:hAnsi="Times New Roman" w:cs="Times New Roman"/>
          <w:sz w:val="24"/>
          <w:szCs w:val="24"/>
        </w:rPr>
        <w:t xml:space="preserve">vacation expenses, amount paid to employees for relocation and employee provided vehicle and group term life insurance. </w:t>
      </w:r>
      <w:r w:rsidR="005A267F" w:rsidRPr="004F4E38">
        <w:rPr>
          <w:rFonts w:ascii="Times New Roman" w:hAnsi="Times New Roman" w:cs="Times New Roman"/>
          <w:sz w:val="24"/>
          <w:szCs w:val="24"/>
        </w:rPr>
        <w:t xml:space="preserve">Carla is provided with a car valued at $25,000, which she uses for both private and business reasons. </w:t>
      </w:r>
      <w:r w:rsidR="00114F7D" w:rsidRPr="004F4E38">
        <w:rPr>
          <w:rFonts w:ascii="Times New Roman" w:hAnsi="Times New Roman" w:cs="Times New Roman"/>
          <w:sz w:val="24"/>
          <w:szCs w:val="24"/>
        </w:rPr>
        <w:t xml:space="preserve"> It is pointed that </w:t>
      </w:r>
      <w:r w:rsidR="00F51E97" w:rsidRPr="004F4E38">
        <w:rPr>
          <w:rFonts w:ascii="Times New Roman" w:hAnsi="Times New Roman" w:cs="Times New Roman"/>
          <w:sz w:val="24"/>
          <w:szCs w:val="24"/>
        </w:rPr>
        <w:t xml:space="preserve">Carla works </w:t>
      </w:r>
      <w:r w:rsidR="00B30EE3" w:rsidRPr="004F4E38">
        <w:rPr>
          <w:rFonts w:ascii="Times New Roman" w:hAnsi="Times New Roman" w:cs="Times New Roman"/>
          <w:sz w:val="24"/>
          <w:szCs w:val="24"/>
        </w:rPr>
        <w:t xml:space="preserve">for </w:t>
      </w:r>
      <w:r w:rsidR="00114F7D" w:rsidRPr="004F4E38">
        <w:rPr>
          <w:rFonts w:ascii="Times New Roman" w:hAnsi="Times New Roman" w:cs="Times New Roman"/>
          <w:sz w:val="24"/>
          <w:szCs w:val="24"/>
        </w:rPr>
        <w:t xml:space="preserve">governmental law reform advocacy, which is an </w:t>
      </w:r>
      <w:r w:rsidR="00427329" w:rsidRPr="004F4E38">
        <w:rPr>
          <w:rFonts w:ascii="Times New Roman" w:hAnsi="Times New Roman" w:cs="Times New Roman"/>
          <w:sz w:val="24"/>
          <w:szCs w:val="24"/>
        </w:rPr>
        <w:t>organization,</w:t>
      </w:r>
      <w:r w:rsidR="00114F7D" w:rsidRPr="004F4E38">
        <w:rPr>
          <w:rFonts w:ascii="Times New Roman" w:hAnsi="Times New Roman" w:cs="Times New Roman"/>
          <w:sz w:val="24"/>
          <w:szCs w:val="24"/>
        </w:rPr>
        <w:t xml:space="preserve"> a NSW state-sponsored </w:t>
      </w:r>
      <w:r w:rsidR="00427329" w:rsidRPr="004F4E38">
        <w:rPr>
          <w:rFonts w:ascii="Times New Roman" w:hAnsi="Times New Roman" w:cs="Times New Roman"/>
          <w:sz w:val="24"/>
          <w:szCs w:val="24"/>
        </w:rPr>
        <w:t>organization</w:t>
      </w:r>
      <w:r w:rsidR="00114F7D" w:rsidRPr="004F4E38">
        <w:rPr>
          <w:rFonts w:ascii="Times New Roman" w:hAnsi="Times New Roman" w:cs="Times New Roman"/>
          <w:sz w:val="24"/>
          <w:szCs w:val="24"/>
        </w:rPr>
        <w:t xml:space="preserve"> (Law Reform </w:t>
      </w:r>
      <w:r w:rsidR="00427329" w:rsidRPr="004F4E38">
        <w:rPr>
          <w:rFonts w:ascii="Times New Roman" w:hAnsi="Times New Roman" w:cs="Times New Roman"/>
          <w:sz w:val="24"/>
          <w:szCs w:val="24"/>
        </w:rPr>
        <w:t>Organization</w:t>
      </w:r>
      <w:r w:rsidR="00114F7D" w:rsidRPr="004F4E38">
        <w:rPr>
          <w:rFonts w:ascii="Times New Roman" w:hAnsi="Times New Roman" w:cs="Times New Roman"/>
          <w:sz w:val="24"/>
          <w:szCs w:val="24"/>
        </w:rPr>
        <w:t xml:space="preserve"> or LRO)</w:t>
      </w:r>
      <w:sdt>
        <w:sdtPr>
          <w:rPr>
            <w:rFonts w:ascii="Times New Roman" w:hAnsi="Times New Roman" w:cs="Times New Roman"/>
            <w:sz w:val="24"/>
            <w:szCs w:val="24"/>
          </w:rPr>
          <w:id w:val="36122374"/>
          <w:citation/>
        </w:sdtPr>
        <w:sdtContent>
          <w:r w:rsidR="00064B17" w:rsidRPr="004F4E38">
            <w:rPr>
              <w:rFonts w:ascii="Times New Roman" w:hAnsi="Times New Roman" w:cs="Times New Roman"/>
              <w:sz w:val="24"/>
              <w:szCs w:val="24"/>
            </w:rPr>
            <w:fldChar w:fldCharType="begin"/>
          </w:r>
          <w:r w:rsidR="00064B17" w:rsidRPr="004F4E38">
            <w:rPr>
              <w:rFonts w:ascii="Times New Roman" w:hAnsi="Times New Roman" w:cs="Times New Roman"/>
              <w:sz w:val="24"/>
              <w:szCs w:val="24"/>
            </w:rPr>
            <w:instrText xml:space="preserve"> CITATION Bus \l 1033  </w:instrText>
          </w:r>
          <w:r w:rsidR="00064B17" w:rsidRPr="004F4E38">
            <w:rPr>
              <w:rFonts w:ascii="Times New Roman" w:hAnsi="Times New Roman" w:cs="Times New Roman"/>
              <w:sz w:val="24"/>
              <w:szCs w:val="24"/>
            </w:rPr>
            <w:fldChar w:fldCharType="separate"/>
          </w:r>
          <w:r w:rsidR="00064B17" w:rsidRPr="004F4E38">
            <w:rPr>
              <w:rFonts w:ascii="Times New Roman" w:hAnsi="Times New Roman" w:cs="Times New Roman"/>
              <w:noProof/>
              <w:sz w:val="24"/>
              <w:szCs w:val="24"/>
            </w:rPr>
            <w:t xml:space="preserve"> (Businessgove.au, 2019)</w:t>
          </w:r>
          <w:r w:rsidR="00064B17" w:rsidRPr="004F4E38">
            <w:rPr>
              <w:rFonts w:ascii="Times New Roman" w:hAnsi="Times New Roman" w:cs="Times New Roman"/>
              <w:sz w:val="24"/>
              <w:szCs w:val="24"/>
            </w:rPr>
            <w:fldChar w:fldCharType="end"/>
          </w:r>
        </w:sdtContent>
      </w:sdt>
      <w:r w:rsidR="0011386F" w:rsidRPr="004F4E38">
        <w:rPr>
          <w:rFonts w:ascii="Times New Roman" w:hAnsi="Times New Roman" w:cs="Times New Roman"/>
          <w:sz w:val="24"/>
          <w:szCs w:val="24"/>
        </w:rPr>
        <w:t xml:space="preserve">. </w:t>
      </w:r>
      <w:r w:rsidR="00CA1AD8" w:rsidRPr="004F4E38">
        <w:rPr>
          <w:rFonts w:ascii="Times New Roman" w:hAnsi="Times New Roman" w:cs="Times New Roman"/>
          <w:sz w:val="24"/>
          <w:szCs w:val="24"/>
        </w:rPr>
        <w:t xml:space="preserve">The LRO provided Carla with a phone, a laptop and a car, which she is supposed to use to serve the organization. Carla </w:t>
      </w:r>
      <w:r w:rsidR="00CA70E9" w:rsidRPr="004F4E38">
        <w:rPr>
          <w:rFonts w:ascii="Times New Roman" w:hAnsi="Times New Roman" w:cs="Times New Roman"/>
          <w:sz w:val="24"/>
          <w:szCs w:val="24"/>
        </w:rPr>
        <w:t>does not</w:t>
      </w:r>
      <w:r w:rsidR="00CA1AD8" w:rsidRPr="004F4E38">
        <w:rPr>
          <w:rFonts w:ascii="Times New Roman" w:hAnsi="Times New Roman" w:cs="Times New Roman"/>
          <w:sz w:val="24"/>
          <w:szCs w:val="24"/>
        </w:rPr>
        <w:t xml:space="preserve"> use laptop and phone for private and only use the car for private and to serve LRO, therefore, the car valued at %25,000 would be subjected to Fringe benefit tax. In this case, Carla would be deducted 30% from her salaries paid by LRO. </w:t>
      </w:r>
      <w:r w:rsidR="006234A2" w:rsidRPr="004F4E38">
        <w:rPr>
          <w:rFonts w:ascii="Times New Roman" w:hAnsi="Times New Roman" w:cs="Times New Roman"/>
          <w:sz w:val="24"/>
          <w:szCs w:val="24"/>
        </w:rPr>
        <w:t>LFX provides a laptop and phone to Carla for both private and business usage, therefore, the phone and laptop is subjected to Fringe Benefit Tax (FBT)</w:t>
      </w:r>
      <w:sdt>
        <w:sdtPr>
          <w:rPr>
            <w:rFonts w:ascii="Times New Roman" w:hAnsi="Times New Roman" w:cs="Times New Roman"/>
            <w:sz w:val="24"/>
            <w:szCs w:val="24"/>
          </w:rPr>
          <w:id w:val="36122373"/>
          <w:citation/>
        </w:sdtPr>
        <w:sdtContent>
          <w:r w:rsidR="00EB69E2" w:rsidRPr="004F4E38">
            <w:rPr>
              <w:rFonts w:ascii="Times New Roman" w:hAnsi="Times New Roman" w:cs="Times New Roman"/>
              <w:sz w:val="24"/>
              <w:szCs w:val="24"/>
            </w:rPr>
            <w:fldChar w:fldCharType="begin"/>
          </w:r>
          <w:r w:rsidR="00EB69E2" w:rsidRPr="004F4E38">
            <w:rPr>
              <w:rFonts w:ascii="Times New Roman" w:hAnsi="Times New Roman" w:cs="Times New Roman"/>
              <w:sz w:val="24"/>
              <w:szCs w:val="24"/>
            </w:rPr>
            <w:instrText xml:space="preserve"> CITATION All14 \p 21 \l 1033  </w:instrText>
          </w:r>
          <w:r w:rsidR="00EB69E2" w:rsidRPr="004F4E38">
            <w:rPr>
              <w:rFonts w:ascii="Times New Roman" w:hAnsi="Times New Roman" w:cs="Times New Roman"/>
              <w:sz w:val="24"/>
              <w:szCs w:val="24"/>
            </w:rPr>
            <w:fldChar w:fldCharType="separate"/>
          </w:r>
          <w:r w:rsidR="00EB69E2" w:rsidRPr="004F4E38">
            <w:rPr>
              <w:rFonts w:ascii="Times New Roman" w:hAnsi="Times New Roman" w:cs="Times New Roman"/>
              <w:noProof/>
              <w:sz w:val="24"/>
              <w:szCs w:val="24"/>
            </w:rPr>
            <w:t xml:space="preserve"> (Alley &amp; Bentley, 2014, p. 21)</w:t>
          </w:r>
          <w:r w:rsidR="00EB69E2" w:rsidRPr="004F4E38">
            <w:rPr>
              <w:rFonts w:ascii="Times New Roman" w:hAnsi="Times New Roman" w:cs="Times New Roman"/>
              <w:sz w:val="24"/>
              <w:szCs w:val="24"/>
            </w:rPr>
            <w:fldChar w:fldCharType="end"/>
          </w:r>
        </w:sdtContent>
      </w:sdt>
      <w:r w:rsidR="006234A2" w:rsidRPr="004F4E38">
        <w:rPr>
          <w:rFonts w:ascii="Times New Roman" w:hAnsi="Times New Roman" w:cs="Times New Roman"/>
          <w:sz w:val="24"/>
          <w:szCs w:val="24"/>
        </w:rPr>
        <w:t xml:space="preserve">. </w:t>
      </w:r>
      <w:r w:rsidR="00BD1DA7" w:rsidRPr="004F4E38">
        <w:rPr>
          <w:rFonts w:ascii="Times New Roman" w:hAnsi="Times New Roman" w:cs="Times New Roman"/>
          <w:sz w:val="24"/>
          <w:szCs w:val="24"/>
        </w:rPr>
        <w:t xml:space="preserve"> </w:t>
      </w:r>
      <w:r w:rsidR="00DA494E" w:rsidRPr="004F4E38">
        <w:rPr>
          <w:rFonts w:ascii="Times New Roman" w:hAnsi="Times New Roman" w:cs="Times New Roman"/>
          <w:sz w:val="24"/>
          <w:szCs w:val="24"/>
        </w:rPr>
        <w:t>In short, Carla income paid by LFX will be subjected to 30% FBT tax because she uses laptop and phone given by the company for her personal benefit not for the company alone.</w:t>
      </w:r>
      <w:r w:rsidR="007B2ED3" w:rsidRPr="004F4E38">
        <w:rPr>
          <w:rFonts w:ascii="Times New Roman" w:hAnsi="Times New Roman" w:cs="Times New Roman"/>
          <w:sz w:val="24"/>
          <w:szCs w:val="24"/>
        </w:rPr>
        <w:t xml:space="preserve"> </w:t>
      </w:r>
    </w:p>
    <w:p w:rsidR="00700D05" w:rsidRPr="004F4E38" w:rsidRDefault="00700D05" w:rsidP="00700D05">
      <w:pPr>
        <w:spacing w:after="0" w:line="480" w:lineRule="auto"/>
        <w:ind w:firstLine="720"/>
        <w:rPr>
          <w:rFonts w:ascii="Times New Roman" w:hAnsi="Times New Roman" w:cs="Times New Roman"/>
          <w:sz w:val="24"/>
          <w:szCs w:val="24"/>
        </w:rPr>
      </w:pPr>
      <w:r w:rsidRPr="004F4E38">
        <w:rPr>
          <w:rFonts w:ascii="Times New Roman" w:hAnsi="Times New Roman" w:cs="Times New Roman"/>
          <w:sz w:val="24"/>
          <w:szCs w:val="24"/>
        </w:rPr>
        <w:t>In brief, Carla will have to pay income tax, Medicare Levy and Medicare Levy Surcharge, Fringe Benefits Tax (FBT), and Consumption taxes.</w:t>
      </w:r>
      <w:r w:rsidR="009E21B4" w:rsidRPr="004F4E38">
        <w:rPr>
          <w:rFonts w:ascii="Times New Roman" w:hAnsi="Times New Roman" w:cs="Times New Roman"/>
          <w:sz w:val="24"/>
          <w:szCs w:val="24"/>
        </w:rPr>
        <w:t xml:space="preserve"> </w:t>
      </w:r>
      <w:r w:rsidR="00FA1A8D" w:rsidRPr="004F4E38">
        <w:rPr>
          <w:rFonts w:ascii="Times New Roman" w:hAnsi="Times New Roman" w:cs="Times New Roman"/>
          <w:sz w:val="24"/>
          <w:szCs w:val="24"/>
        </w:rPr>
        <w:t>The Medicare levy payable by Carla will be the 2% of the total income earned for her work in Australia. She is also indicate</w:t>
      </w:r>
      <w:r w:rsidR="009E3A25" w:rsidRPr="004F4E38">
        <w:rPr>
          <w:rFonts w:ascii="Times New Roman" w:hAnsi="Times New Roman" w:cs="Times New Roman"/>
          <w:sz w:val="24"/>
          <w:szCs w:val="24"/>
        </w:rPr>
        <w:t>d</w:t>
      </w:r>
      <w:r w:rsidR="00FA1A8D" w:rsidRPr="004F4E38">
        <w:rPr>
          <w:rFonts w:ascii="Times New Roman" w:hAnsi="Times New Roman" w:cs="Times New Roman"/>
          <w:sz w:val="24"/>
          <w:szCs w:val="24"/>
        </w:rPr>
        <w:t xml:space="preserve"> that she works in Australia and therefore, she is </w:t>
      </w:r>
      <w:r w:rsidR="00C30F9A" w:rsidRPr="004F4E38">
        <w:rPr>
          <w:rFonts w:ascii="Times New Roman" w:hAnsi="Times New Roman" w:cs="Times New Roman"/>
          <w:sz w:val="24"/>
          <w:szCs w:val="24"/>
        </w:rPr>
        <w:t>required</w:t>
      </w:r>
      <w:r w:rsidR="00FA1A8D" w:rsidRPr="004F4E38">
        <w:rPr>
          <w:rFonts w:ascii="Times New Roman" w:hAnsi="Times New Roman" w:cs="Times New Roman"/>
          <w:sz w:val="24"/>
          <w:szCs w:val="24"/>
        </w:rPr>
        <w:t xml:space="preserve"> by the law to pay </w:t>
      </w:r>
      <w:r w:rsidR="00C30F9A" w:rsidRPr="004F4E38">
        <w:rPr>
          <w:rFonts w:ascii="Times New Roman" w:hAnsi="Times New Roman" w:cs="Times New Roman"/>
          <w:sz w:val="24"/>
          <w:szCs w:val="24"/>
        </w:rPr>
        <w:t>Medicare</w:t>
      </w:r>
      <w:r w:rsidR="00FA1A8D" w:rsidRPr="004F4E38">
        <w:rPr>
          <w:rFonts w:ascii="Times New Roman" w:hAnsi="Times New Roman" w:cs="Times New Roman"/>
          <w:sz w:val="24"/>
          <w:szCs w:val="24"/>
        </w:rPr>
        <w:t xml:space="preserve"> levy of 1%. </w:t>
      </w:r>
      <w:r w:rsidR="009E21B4" w:rsidRPr="004F4E38">
        <w:rPr>
          <w:rFonts w:ascii="Times New Roman" w:hAnsi="Times New Roman" w:cs="Times New Roman"/>
          <w:sz w:val="24"/>
          <w:szCs w:val="24"/>
        </w:rPr>
        <w:lastRenderedPageBreak/>
        <w:t xml:space="preserve">However, Carla will not be expected to pay as you go (PAYG) tax because the company does not have any employee in Australia. </w:t>
      </w:r>
    </w:p>
    <w:p w:rsidR="00700D05" w:rsidRPr="004F4E38" w:rsidRDefault="00700D05" w:rsidP="00DC3123">
      <w:pPr>
        <w:spacing w:after="0" w:line="480" w:lineRule="auto"/>
        <w:ind w:firstLine="720"/>
        <w:rPr>
          <w:rFonts w:ascii="Times New Roman" w:hAnsi="Times New Roman" w:cs="Times New Roman"/>
          <w:sz w:val="24"/>
          <w:szCs w:val="24"/>
        </w:rPr>
      </w:pPr>
    </w:p>
    <w:p w:rsidR="004118D8" w:rsidRPr="004F4E38" w:rsidRDefault="004118D8" w:rsidP="00DC3123">
      <w:pPr>
        <w:spacing w:after="0" w:line="480" w:lineRule="auto"/>
        <w:ind w:firstLine="720"/>
        <w:rPr>
          <w:rFonts w:ascii="Times New Roman" w:hAnsi="Times New Roman" w:cs="Times New Roman"/>
          <w:sz w:val="24"/>
          <w:szCs w:val="24"/>
        </w:rPr>
      </w:pPr>
    </w:p>
    <w:p w:rsidR="004118D8" w:rsidRPr="004F4E38" w:rsidRDefault="004118D8" w:rsidP="00DC3123">
      <w:pPr>
        <w:spacing w:after="0" w:line="480" w:lineRule="auto"/>
        <w:ind w:firstLine="720"/>
        <w:rPr>
          <w:rFonts w:ascii="Times New Roman" w:hAnsi="Times New Roman" w:cs="Times New Roman"/>
          <w:sz w:val="24"/>
          <w:szCs w:val="24"/>
        </w:rPr>
      </w:pPr>
    </w:p>
    <w:p w:rsidR="004118D8" w:rsidRPr="004F4E38" w:rsidRDefault="004118D8" w:rsidP="00DC3123">
      <w:pPr>
        <w:spacing w:after="0" w:line="480" w:lineRule="auto"/>
        <w:ind w:firstLine="720"/>
        <w:rPr>
          <w:rFonts w:ascii="Times New Roman" w:hAnsi="Times New Roman" w:cs="Times New Roman"/>
          <w:sz w:val="24"/>
          <w:szCs w:val="24"/>
        </w:rPr>
      </w:pPr>
    </w:p>
    <w:p w:rsidR="004118D8" w:rsidRPr="004F4E38" w:rsidRDefault="004118D8" w:rsidP="00DC3123">
      <w:pPr>
        <w:spacing w:after="0" w:line="480" w:lineRule="auto"/>
        <w:ind w:firstLine="720"/>
        <w:rPr>
          <w:rFonts w:ascii="Times New Roman" w:hAnsi="Times New Roman" w:cs="Times New Roman"/>
          <w:sz w:val="24"/>
          <w:szCs w:val="24"/>
        </w:rPr>
      </w:pPr>
    </w:p>
    <w:p w:rsidR="004118D8" w:rsidRPr="004F4E38" w:rsidRDefault="004118D8" w:rsidP="00DC3123">
      <w:pPr>
        <w:spacing w:after="0" w:line="480" w:lineRule="auto"/>
        <w:ind w:firstLine="720"/>
        <w:rPr>
          <w:rFonts w:ascii="Times New Roman" w:hAnsi="Times New Roman" w:cs="Times New Roman"/>
          <w:sz w:val="24"/>
          <w:szCs w:val="24"/>
        </w:rPr>
      </w:pPr>
    </w:p>
    <w:p w:rsidR="004118D8" w:rsidRPr="004F4E38" w:rsidRDefault="004118D8" w:rsidP="00DC3123">
      <w:pPr>
        <w:spacing w:after="0" w:line="480" w:lineRule="auto"/>
        <w:ind w:firstLine="720"/>
        <w:rPr>
          <w:rFonts w:ascii="Times New Roman" w:hAnsi="Times New Roman" w:cs="Times New Roman"/>
          <w:sz w:val="24"/>
          <w:szCs w:val="24"/>
        </w:rPr>
      </w:pPr>
    </w:p>
    <w:p w:rsidR="004118D8" w:rsidRPr="004F4E38" w:rsidRDefault="004118D8" w:rsidP="00DC3123">
      <w:pPr>
        <w:spacing w:after="0" w:line="480" w:lineRule="auto"/>
        <w:ind w:firstLine="720"/>
        <w:rPr>
          <w:rFonts w:ascii="Times New Roman" w:hAnsi="Times New Roman" w:cs="Times New Roman"/>
          <w:sz w:val="24"/>
          <w:szCs w:val="24"/>
        </w:rPr>
      </w:pPr>
    </w:p>
    <w:p w:rsidR="004118D8" w:rsidRPr="004F4E38" w:rsidRDefault="004118D8" w:rsidP="00DC3123">
      <w:pPr>
        <w:spacing w:after="0" w:line="480" w:lineRule="auto"/>
        <w:ind w:firstLine="720"/>
        <w:rPr>
          <w:rFonts w:ascii="Times New Roman" w:hAnsi="Times New Roman" w:cs="Times New Roman"/>
          <w:sz w:val="24"/>
          <w:szCs w:val="24"/>
        </w:rPr>
      </w:pPr>
    </w:p>
    <w:p w:rsidR="004118D8" w:rsidRPr="004F4E38" w:rsidRDefault="004118D8" w:rsidP="00DC3123">
      <w:pPr>
        <w:spacing w:after="0" w:line="480" w:lineRule="auto"/>
        <w:ind w:firstLine="720"/>
        <w:rPr>
          <w:rFonts w:ascii="Times New Roman" w:hAnsi="Times New Roman" w:cs="Times New Roman"/>
          <w:sz w:val="24"/>
          <w:szCs w:val="24"/>
        </w:rPr>
      </w:pPr>
    </w:p>
    <w:p w:rsidR="004118D8" w:rsidRPr="004F4E38" w:rsidRDefault="004118D8" w:rsidP="00DC3123">
      <w:pPr>
        <w:spacing w:after="0" w:line="480" w:lineRule="auto"/>
        <w:ind w:firstLine="720"/>
        <w:rPr>
          <w:rFonts w:ascii="Times New Roman" w:hAnsi="Times New Roman" w:cs="Times New Roman"/>
          <w:sz w:val="24"/>
          <w:szCs w:val="24"/>
        </w:rPr>
      </w:pPr>
    </w:p>
    <w:p w:rsidR="004118D8" w:rsidRPr="004F4E38" w:rsidRDefault="004118D8" w:rsidP="00DC3123">
      <w:pPr>
        <w:spacing w:after="0" w:line="480" w:lineRule="auto"/>
        <w:ind w:firstLine="720"/>
        <w:rPr>
          <w:rFonts w:ascii="Times New Roman" w:hAnsi="Times New Roman" w:cs="Times New Roman"/>
          <w:sz w:val="24"/>
          <w:szCs w:val="24"/>
        </w:rPr>
      </w:pPr>
    </w:p>
    <w:p w:rsidR="004118D8" w:rsidRPr="004F4E38" w:rsidRDefault="004118D8" w:rsidP="00DC3123">
      <w:pPr>
        <w:spacing w:after="0" w:line="480" w:lineRule="auto"/>
        <w:ind w:firstLine="720"/>
        <w:rPr>
          <w:rFonts w:ascii="Times New Roman" w:hAnsi="Times New Roman" w:cs="Times New Roman"/>
          <w:sz w:val="24"/>
          <w:szCs w:val="24"/>
        </w:rPr>
      </w:pPr>
    </w:p>
    <w:p w:rsidR="004118D8" w:rsidRPr="004F4E38" w:rsidRDefault="004118D8" w:rsidP="00DC3123">
      <w:pPr>
        <w:spacing w:after="0" w:line="480" w:lineRule="auto"/>
        <w:ind w:firstLine="720"/>
        <w:rPr>
          <w:rFonts w:ascii="Times New Roman" w:hAnsi="Times New Roman" w:cs="Times New Roman"/>
          <w:sz w:val="24"/>
          <w:szCs w:val="24"/>
        </w:rPr>
      </w:pPr>
    </w:p>
    <w:p w:rsidR="004118D8" w:rsidRPr="004F4E38" w:rsidRDefault="004118D8" w:rsidP="00DC3123">
      <w:pPr>
        <w:spacing w:after="0" w:line="480" w:lineRule="auto"/>
        <w:ind w:firstLine="720"/>
        <w:rPr>
          <w:rFonts w:ascii="Times New Roman" w:hAnsi="Times New Roman" w:cs="Times New Roman"/>
          <w:sz w:val="24"/>
          <w:szCs w:val="24"/>
        </w:rPr>
      </w:pPr>
    </w:p>
    <w:p w:rsidR="004118D8" w:rsidRPr="004F4E38" w:rsidRDefault="004118D8" w:rsidP="00DC3123">
      <w:pPr>
        <w:spacing w:after="0" w:line="480" w:lineRule="auto"/>
        <w:ind w:firstLine="720"/>
        <w:rPr>
          <w:rFonts w:ascii="Times New Roman" w:hAnsi="Times New Roman" w:cs="Times New Roman"/>
          <w:sz w:val="24"/>
          <w:szCs w:val="24"/>
        </w:rPr>
      </w:pPr>
    </w:p>
    <w:p w:rsidR="004118D8" w:rsidRPr="004F4E38" w:rsidRDefault="004118D8" w:rsidP="00DC3123">
      <w:pPr>
        <w:spacing w:after="0" w:line="480" w:lineRule="auto"/>
        <w:ind w:firstLine="720"/>
        <w:rPr>
          <w:rFonts w:ascii="Times New Roman" w:hAnsi="Times New Roman" w:cs="Times New Roman"/>
          <w:sz w:val="24"/>
          <w:szCs w:val="24"/>
        </w:rPr>
      </w:pPr>
    </w:p>
    <w:p w:rsidR="004118D8" w:rsidRPr="004F4E38" w:rsidRDefault="004118D8" w:rsidP="00DC3123">
      <w:pPr>
        <w:spacing w:after="0" w:line="480" w:lineRule="auto"/>
        <w:ind w:firstLine="720"/>
        <w:rPr>
          <w:rFonts w:ascii="Times New Roman" w:hAnsi="Times New Roman" w:cs="Times New Roman"/>
          <w:sz w:val="24"/>
          <w:szCs w:val="24"/>
        </w:rPr>
      </w:pPr>
    </w:p>
    <w:p w:rsidR="004118D8" w:rsidRDefault="004118D8" w:rsidP="003D5E44">
      <w:pPr>
        <w:spacing w:after="0" w:line="480" w:lineRule="auto"/>
        <w:ind w:firstLine="720"/>
        <w:rPr>
          <w:rFonts w:ascii="Times New Roman" w:hAnsi="Times New Roman" w:cs="Times New Roman"/>
          <w:sz w:val="24"/>
          <w:szCs w:val="24"/>
        </w:rPr>
      </w:pPr>
    </w:p>
    <w:p w:rsidR="003D5E44" w:rsidRPr="004F4E38" w:rsidRDefault="003D5E44" w:rsidP="003D5E44">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36122378"/>
        <w:docPartObj>
          <w:docPartGallery w:val="Bibliographies"/>
          <w:docPartUnique/>
        </w:docPartObj>
      </w:sdtPr>
      <w:sdtEndPr>
        <w:rPr>
          <w:rFonts w:eastAsiaTheme="minorHAnsi"/>
          <w:b w:val="0"/>
          <w:bCs w:val="0"/>
          <w:color w:val="auto"/>
          <w:lang w:bidi="ar-SA"/>
        </w:rPr>
      </w:sdtEndPr>
      <w:sdtContent>
        <w:p w:rsidR="004118D8" w:rsidRPr="004F4E38" w:rsidRDefault="004118D8" w:rsidP="003D5E44">
          <w:pPr>
            <w:pStyle w:val="Heading1"/>
            <w:spacing w:before="0" w:line="480" w:lineRule="auto"/>
            <w:jc w:val="center"/>
            <w:rPr>
              <w:rFonts w:ascii="Times New Roman" w:hAnsi="Times New Roman" w:cs="Times New Roman"/>
              <w:sz w:val="24"/>
              <w:szCs w:val="24"/>
            </w:rPr>
          </w:pPr>
          <w:r w:rsidRPr="004F4E38">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3D5E44" w:rsidRDefault="004118D8" w:rsidP="003D5E44">
              <w:pPr>
                <w:pStyle w:val="Bibliography"/>
                <w:spacing w:after="0" w:line="480" w:lineRule="auto"/>
                <w:rPr>
                  <w:rFonts w:ascii="Times New Roman" w:hAnsi="Times New Roman" w:cs="Times New Roman"/>
                  <w:noProof/>
                  <w:sz w:val="24"/>
                  <w:szCs w:val="24"/>
                </w:rPr>
              </w:pPr>
              <w:r w:rsidRPr="004F4E38">
                <w:rPr>
                  <w:rFonts w:ascii="Times New Roman" w:hAnsi="Times New Roman" w:cs="Times New Roman"/>
                  <w:sz w:val="24"/>
                  <w:szCs w:val="24"/>
                </w:rPr>
                <w:fldChar w:fldCharType="begin"/>
              </w:r>
              <w:r w:rsidRPr="004F4E38">
                <w:rPr>
                  <w:rFonts w:ascii="Times New Roman" w:hAnsi="Times New Roman" w:cs="Times New Roman"/>
                  <w:sz w:val="24"/>
                  <w:szCs w:val="24"/>
                </w:rPr>
                <w:instrText xml:space="preserve"> BIBLIOGRAPHY </w:instrText>
              </w:r>
              <w:r w:rsidRPr="004F4E38">
                <w:rPr>
                  <w:rFonts w:ascii="Times New Roman" w:hAnsi="Times New Roman" w:cs="Times New Roman"/>
                  <w:sz w:val="24"/>
                  <w:szCs w:val="24"/>
                </w:rPr>
                <w:fldChar w:fldCharType="separate"/>
              </w:r>
              <w:r w:rsidR="003D5E44">
                <w:rPr>
                  <w:rFonts w:ascii="Times New Roman" w:hAnsi="Times New Roman" w:cs="Times New Roman"/>
                  <w:noProof/>
                  <w:sz w:val="24"/>
                  <w:szCs w:val="24"/>
                </w:rPr>
                <w:t xml:space="preserve">Alley, C. R., &amp; Bentley, D. </w:t>
              </w:r>
              <w:r w:rsidRPr="004F4E38">
                <w:rPr>
                  <w:rFonts w:ascii="Times New Roman" w:hAnsi="Times New Roman" w:cs="Times New Roman"/>
                  <w:noProof/>
                  <w:sz w:val="24"/>
                  <w:szCs w:val="24"/>
                </w:rPr>
                <w:t xml:space="preserve">2014. </w:t>
              </w:r>
              <w:r w:rsidR="003D5E44" w:rsidRPr="004F4E38">
                <w:rPr>
                  <w:rFonts w:ascii="Times New Roman" w:hAnsi="Times New Roman" w:cs="Times New Roman"/>
                  <w:noProof/>
                  <w:sz w:val="24"/>
                  <w:szCs w:val="24"/>
                </w:rPr>
                <w:t xml:space="preserve">In Need Of Reform? A Trans-Tasma Perspective On The </w:t>
              </w:r>
            </w:p>
            <w:p w:rsidR="004118D8" w:rsidRPr="004F4E38" w:rsidRDefault="003D5E44" w:rsidP="003D5E44">
              <w:pPr>
                <w:pStyle w:val="Bibliography"/>
                <w:spacing w:after="0" w:line="480" w:lineRule="auto"/>
                <w:ind w:firstLine="720"/>
                <w:rPr>
                  <w:rFonts w:ascii="Times New Roman" w:hAnsi="Times New Roman" w:cs="Times New Roman"/>
                  <w:noProof/>
                  <w:sz w:val="24"/>
                  <w:szCs w:val="24"/>
                </w:rPr>
              </w:pPr>
              <w:r w:rsidRPr="004F4E38">
                <w:rPr>
                  <w:rFonts w:ascii="Times New Roman" w:hAnsi="Times New Roman" w:cs="Times New Roman"/>
                  <w:noProof/>
                  <w:sz w:val="24"/>
                  <w:szCs w:val="24"/>
                </w:rPr>
                <w:t>Definition Of"Residence".</w:t>
              </w:r>
              <w:r w:rsidR="004118D8" w:rsidRPr="004F4E38">
                <w:rPr>
                  <w:rFonts w:ascii="Times New Roman" w:hAnsi="Times New Roman" w:cs="Times New Roman"/>
                  <w:noProof/>
                  <w:sz w:val="24"/>
                  <w:szCs w:val="24"/>
                </w:rPr>
                <w:t xml:space="preserve"> </w:t>
              </w:r>
              <w:r w:rsidR="004118D8" w:rsidRPr="004F4E38">
                <w:rPr>
                  <w:rFonts w:ascii="Times New Roman" w:hAnsi="Times New Roman" w:cs="Times New Roman"/>
                  <w:i/>
                  <w:iCs/>
                  <w:noProof/>
                  <w:sz w:val="24"/>
                  <w:szCs w:val="24"/>
                </w:rPr>
                <w:t>Section 25(1) of the Income Tax Assessment Act 1936</w:t>
              </w:r>
              <w:r w:rsidR="004118D8" w:rsidRPr="004F4E38">
                <w:rPr>
                  <w:rFonts w:ascii="Times New Roman" w:hAnsi="Times New Roman" w:cs="Times New Roman"/>
                  <w:noProof/>
                  <w:sz w:val="24"/>
                  <w:szCs w:val="24"/>
                </w:rPr>
                <w:t xml:space="preserve"> , 2-14.</w:t>
              </w:r>
            </w:p>
            <w:p w:rsidR="003D5E44" w:rsidRDefault="003D5E44" w:rsidP="003D5E44">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Australia taxation office. </w:t>
              </w:r>
              <w:r w:rsidR="004118D8" w:rsidRPr="004F4E38">
                <w:rPr>
                  <w:rFonts w:ascii="Times New Roman" w:hAnsi="Times New Roman" w:cs="Times New Roman"/>
                  <w:noProof/>
                  <w:sz w:val="24"/>
                  <w:szCs w:val="24"/>
                </w:rPr>
                <w:t xml:space="preserve">2014. Taxation Ruling. </w:t>
              </w:r>
            </w:p>
            <w:p w:rsidR="004118D8" w:rsidRPr="004F4E38" w:rsidRDefault="004118D8" w:rsidP="003D5E44">
              <w:pPr>
                <w:pStyle w:val="Bibliography"/>
                <w:spacing w:after="0" w:line="480" w:lineRule="auto"/>
                <w:ind w:firstLine="720"/>
                <w:rPr>
                  <w:rFonts w:ascii="Times New Roman" w:hAnsi="Times New Roman" w:cs="Times New Roman"/>
                  <w:noProof/>
                  <w:sz w:val="24"/>
                  <w:szCs w:val="24"/>
                </w:rPr>
              </w:pPr>
              <w:r w:rsidRPr="004F4E38">
                <w:rPr>
                  <w:rFonts w:ascii="Times New Roman" w:hAnsi="Times New Roman" w:cs="Times New Roman"/>
                  <w:i/>
                  <w:iCs/>
                  <w:noProof/>
                  <w:sz w:val="24"/>
                  <w:szCs w:val="24"/>
                </w:rPr>
                <w:t>https://www.ato.gov.au/law/view/document?Docid=ITR/IT2650/NAT/ATO/00001</w:t>
              </w:r>
              <w:r w:rsidRPr="004F4E38">
                <w:rPr>
                  <w:rFonts w:ascii="Times New Roman" w:hAnsi="Times New Roman" w:cs="Times New Roman"/>
                  <w:noProof/>
                  <w:sz w:val="24"/>
                  <w:szCs w:val="24"/>
                </w:rPr>
                <w:t xml:space="preserve"> , 2-15.</w:t>
              </w:r>
            </w:p>
            <w:p w:rsidR="003D5E44" w:rsidRDefault="003D5E44" w:rsidP="003D5E44">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Businessgove.au. </w:t>
              </w:r>
              <w:r w:rsidR="004118D8" w:rsidRPr="004F4E38">
                <w:rPr>
                  <w:rFonts w:ascii="Times New Roman" w:hAnsi="Times New Roman" w:cs="Times New Roman"/>
                  <w:noProof/>
                  <w:sz w:val="24"/>
                  <w:szCs w:val="24"/>
                </w:rPr>
                <w:t xml:space="preserve">2019. Fringe Benefits Tax (FBT). </w:t>
              </w:r>
            </w:p>
            <w:p w:rsidR="004118D8" w:rsidRPr="004F4E38" w:rsidRDefault="004118D8" w:rsidP="003D5E44">
              <w:pPr>
                <w:pStyle w:val="Bibliography"/>
                <w:spacing w:after="0" w:line="480" w:lineRule="auto"/>
                <w:ind w:firstLine="720"/>
                <w:rPr>
                  <w:rFonts w:ascii="Times New Roman" w:hAnsi="Times New Roman" w:cs="Times New Roman"/>
                  <w:noProof/>
                  <w:sz w:val="24"/>
                  <w:szCs w:val="24"/>
                </w:rPr>
              </w:pPr>
              <w:r w:rsidRPr="004F4E38">
                <w:rPr>
                  <w:rFonts w:ascii="Times New Roman" w:hAnsi="Times New Roman" w:cs="Times New Roman"/>
                  <w:i/>
                  <w:iCs/>
                  <w:noProof/>
                  <w:sz w:val="24"/>
                  <w:szCs w:val="24"/>
                </w:rPr>
                <w:t>https://www.business.gov.au/finance/taxation/fringe-benefits-tax</w:t>
              </w:r>
              <w:r w:rsidRPr="004F4E38">
                <w:rPr>
                  <w:rFonts w:ascii="Times New Roman" w:hAnsi="Times New Roman" w:cs="Times New Roman"/>
                  <w:noProof/>
                  <w:sz w:val="24"/>
                  <w:szCs w:val="24"/>
                </w:rPr>
                <w:t xml:space="preserve"> , 2-15.</w:t>
              </w:r>
            </w:p>
            <w:p w:rsidR="003D5E44" w:rsidRDefault="003D5E44" w:rsidP="003D5E44">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Hall and Willcock Advocate. </w:t>
              </w:r>
              <w:r w:rsidR="004118D8" w:rsidRPr="004F4E38">
                <w:rPr>
                  <w:rFonts w:ascii="Times New Roman" w:hAnsi="Times New Roman" w:cs="Times New Roman"/>
                  <w:noProof/>
                  <w:sz w:val="24"/>
                  <w:szCs w:val="24"/>
                </w:rPr>
                <w:t xml:space="preserve">2017. A Guide To Taxation In Australia. </w:t>
              </w:r>
            </w:p>
            <w:p w:rsidR="004118D8" w:rsidRPr="004F4E38" w:rsidRDefault="004118D8" w:rsidP="003D5E44">
              <w:pPr>
                <w:pStyle w:val="Bibliography"/>
                <w:spacing w:after="0" w:line="480" w:lineRule="auto"/>
                <w:ind w:firstLine="720"/>
                <w:rPr>
                  <w:rFonts w:ascii="Times New Roman" w:hAnsi="Times New Roman" w:cs="Times New Roman"/>
                  <w:noProof/>
                  <w:sz w:val="24"/>
                  <w:szCs w:val="24"/>
                </w:rPr>
              </w:pPr>
              <w:r w:rsidRPr="004F4E38">
                <w:rPr>
                  <w:rFonts w:ascii="Times New Roman" w:hAnsi="Times New Roman" w:cs="Times New Roman"/>
                  <w:i/>
                  <w:iCs/>
                  <w:noProof/>
                  <w:sz w:val="24"/>
                  <w:szCs w:val="24"/>
                </w:rPr>
                <w:t>https://hallandwilcox.com.au/thinking/a-guide-to-taxation-in-australia/</w:t>
              </w:r>
              <w:r w:rsidRPr="004F4E38">
                <w:rPr>
                  <w:rFonts w:ascii="Times New Roman" w:hAnsi="Times New Roman" w:cs="Times New Roman"/>
                  <w:noProof/>
                  <w:sz w:val="24"/>
                  <w:szCs w:val="24"/>
                </w:rPr>
                <w:t xml:space="preserve"> , 2-15.</w:t>
              </w:r>
            </w:p>
            <w:p w:rsidR="003D5E44" w:rsidRDefault="003D5E44" w:rsidP="003D5E44">
              <w:pPr>
                <w:pStyle w:val="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Tylor, M. </w:t>
              </w:r>
              <w:r w:rsidR="004118D8" w:rsidRPr="004F4E38">
                <w:rPr>
                  <w:rFonts w:ascii="Times New Roman" w:hAnsi="Times New Roman" w:cs="Times New Roman"/>
                  <w:noProof/>
                  <w:sz w:val="24"/>
                  <w:szCs w:val="24"/>
                </w:rPr>
                <w:t xml:space="preserve">2015. Compliance Risk Management: Managing and Improving Tax Compliance. </w:t>
              </w:r>
            </w:p>
            <w:p w:rsidR="004118D8" w:rsidRPr="004F4E38" w:rsidRDefault="004118D8" w:rsidP="003D5E44">
              <w:pPr>
                <w:pStyle w:val="Bibliography"/>
                <w:spacing w:after="0" w:line="480" w:lineRule="auto"/>
                <w:ind w:firstLine="720"/>
                <w:rPr>
                  <w:rFonts w:ascii="Times New Roman" w:hAnsi="Times New Roman" w:cs="Times New Roman"/>
                  <w:noProof/>
                  <w:sz w:val="24"/>
                  <w:szCs w:val="24"/>
                </w:rPr>
              </w:pPr>
              <w:r w:rsidRPr="004F4E38">
                <w:rPr>
                  <w:rFonts w:ascii="Times New Roman" w:hAnsi="Times New Roman" w:cs="Times New Roman"/>
                  <w:i/>
                  <w:iCs/>
                  <w:noProof/>
                  <w:sz w:val="24"/>
                  <w:szCs w:val="24"/>
                </w:rPr>
                <w:t xml:space="preserve">Managing and Improving Tax Compliance </w:t>
              </w:r>
              <w:r w:rsidRPr="004F4E38">
                <w:rPr>
                  <w:rFonts w:ascii="Times New Roman" w:hAnsi="Times New Roman" w:cs="Times New Roman"/>
                  <w:noProof/>
                  <w:sz w:val="24"/>
                  <w:szCs w:val="24"/>
                </w:rPr>
                <w:t>, 2-15.</w:t>
              </w:r>
            </w:p>
            <w:p w:rsidR="003D5E44" w:rsidRDefault="004118D8" w:rsidP="003D5E44">
              <w:pPr>
                <w:pStyle w:val="Bibliography"/>
                <w:spacing w:after="0" w:line="480" w:lineRule="auto"/>
                <w:rPr>
                  <w:rFonts w:ascii="Times New Roman" w:hAnsi="Times New Roman" w:cs="Times New Roman"/>
                  <w:noProof/>
                  <w:sz w:val="24"/>
                  <w:szCs w:val="24"/>
                </w:rPr>
              </w:pPr>
              <w:r w:rsidRPr="004F4E38">
                <w:rPr>
                  <w:rFonts w:ascii="Times New Roman" w:hAnsi="Times New Roman" w:cs="Times New Roman"/>
                  <w:noProof/>
                  <w:sz w:val="24"/>
                  <w:szCs w:val="24"/>
                </w:rPr>
                <w:t>Warner, H., Pengilley, D.,</w:t>
              </w:r>
              <w:r w:rsidR="003D5E44">
                <w:rPr>
                  <w:rFonts w:ascii="Times New Roman" w:hAnsi="Times New Roman" w:cs="Times New Roman"/>
                  <w:noProof/>
                  <w:sz w:val="24"/>
                  <w:szCs w:val="24"/>
                </w:rPr>
                <w:t xml:space="preserve"> &amp; Glass, P. </w:t>
              </w:r>
              <w:r w:rsidRPr="004F4E38">
                <w:rPr>
                  <w:rFonts w:ascii="Times New Roman" w:hAnsi="Times New Roman" w:cs="Times New Roman"/>
                  <w:noProof/>
                  <w:sz w:val="24"/>
                  <w:szCs w:val="24"/>
                </w:rPr>
                <w:t xml:space="preserve">2010. Review of aspects of the Australian Taxation Offi </w:t>
              </w:r>
            </w:p>
            <w:p w:rsidR="004118D8" w:rsidRPr="004F4E38" w:rsidRDefault="004118D8" w:rsidP="003D5E44">
              <w:pPr>
                <w:pStyle w:val="Bibliography"/>
                <w:spacing w:after="0" w:line="480" w:lineRule="auto"/>
                <w:ind w:firstLine="720"/>
                <w:rPr>
                  <w:rFonts w:ascii="Times New Roman" w:hAnsi="Times New Roman" w:cs="Times New Roman"/>
                  <w:noProof/>
                  <w:sz w:val="24"/>
                  <w:szCs w:val="24"/>
                </w:rPr>
              </w:pPr>
              <w:r w:rsidRPr="004F4E38">
                <w:rPr>
                  <w:rFonts w:ascii="Times New Roman" w:hAnsi="Times New Roman" w:cs="Times New Roman"/>
                  <w:noProof/>
                  <w:sz w:val="24"/>
                  <w:szCs w:val="24"/>
                </w:rPr>
                <w:t xml:space="preserve">ce’s administration of privatebinding rulings. </w:t>
              </w:r>
              <w:r w:rsidRPr="004F4E38">
                <w:rPr>
                  <w:rFonts w:ascii="Times New Roman" w:hAnsi="Times New Roman" w:cs="Times New Roman"/>
                  <w:i/>
                  <w:iCs/>
                  <w:noProof/>
                  <w:sz w:val="24"/>
                  <w:szCs w:val="24"/>
                </w:rPr>
                <w:t>Inspector-General of Taxation</w:t>
              </w:r>
              <w:r w:rsidRPr="004F4E38">
                <w:rPr>
                  <w:rFonts w:ascii="Times New Roman" w:hAnsi="Times New Roman" w:cs="Times New Roman"/>
                  <w:noProof/>
                  <w:sz w:val="24"/>
                  <w:szCs w:val="24"/>
                </w:rPr>
                <w:t xml:space="preserve"> , 2-15.</w:t>
              </w:r>
            </w:p>
            <w:p w:rsidR="004118D8" w:rsidRPr="004F4E38" w:rsidRDefault="004118D8" w:rsidP="003D5E44">
              <w:pPr>
                <w:spacing w:after="0" w:line="480" w:lineRule="auto"/>
                <w:rPr>
                  <w:rFonts w:ascii="Times New Roman" w:hAnsi="Times New Roman" w:cs="Times New Roman"/>
                  <w:sz w:val="24"/>
                  <w:szCs w:val="24"/>
                </w:rPr>
              </w:pPr>
              <w:r w:rsidRPr="004F4E38">
                <w:rPr>
                  <w:rFonts w:ascii="Times New Roman" w:hAnsi="Times New Roman" w:cs="Times New Roman"/>
                  <w:sz w:val="24"/>
                  <w:szCs w:val="24"/>
                </w:rPr>
                <w:fldChar w:fldCharType="end"/>
              </w:r>
            </w:p>
          </w:sdtContent>
        </w:sdt>
      </w:sdtContent>
    </w:sdt>
    <w:p w:rsidR="0026471E" w:rsidRPr="004F4E38" w:rsidRDefault="0026471E" w:rsidP="0026471E">
      <w:pPr>
        <w:rPr>
          <w:rFonts w:ascii="Times New Roman" w:hAnsi="Times New Roman" w:cs="Times New Roman"/>
          <w:sz w:val="24"/>
          <w:szCs w:val="24"/>
        </w:rPr>
      </w:pPr>
    </w:p>
    <w:p w:rsidR="00A44020" w:rsidRPr="004F4E38" w:rsidRDefault="00A44020" w:rsidP="00C0788A">
      <w:pPr>
        <w:shd w:val="clear" w:color="auto" w:fill="FFFFFF"/>
        <w:spacing w:after="75" w:line="240" w:lineRule="auto"/>
        <w:rPr>
          <w:rFonts w:ascii="Times New Roman" w:hAnsi="Times New Roman" w:cs="Times New Roman"/>
          <w:sz w:val="24"/>
          <w:szCs w:val="24"/>
        </w:rPr>
      </w:pPr>
    </w:p>
    <w:sectPr w:rsidR="00A44020" w:rsidRPr="004F4E38" w:rsidSect="00B565D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A79" w:rsidRDefault="00511A79" w:rsidP="00DF1E94">
      <w:pPr>
        <w:spacing w:after="0" w:line="240" w:lineRule="auto"/>
      </w:pPr>
      <w:r>
        <w:separator/>
      </w:r>
    </w:p>
  </w:endnote>
  <w:endnote w:type="continuationSeparator" w:id="1">
    <w:p w:rsidR="00511A79" w:rsidRDefault="00511A79" w:rsidP="00DF1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A79" w:rsidRDefault="00511A79" w:rsidP="00DF1E94">
      <w:pPr>
        <w:spacing w:after="0" w:line="240" w:lineRule="auto"/>
      </w:pPr>
      <w:r>
        <w:separator/>
      </w:r>
    </w:p>
  </w:footnote>
  <w:footnote w:type="continuationSeparator" w:id="1">
    <w:p w:rsidR="00511A79" w:rsidRDefault="00511A79" w:rsidP="00DF1E94">
      <w:pPr>
        <w:spacing w:after="0" w:line="240" w:lineRule="auto"/>
      </w:pPr>
      <w:r>
        <w:continuationSeparator/>
      </w:r>
    </w:p>
  </w:footnote>
  <w:footnote w:id="2">
    <w:p w:rsidR="00B274BA" w:rsidRDefault="00B274BA">
      <w:pPr>
        <w:pStyle w:val="FootnoteText"/>
      </w:pPr>
      <w:r>
        <w:rPr>
          <w:rStyle w:val="FootnoteReference"/>
        </w:rPr>
        <w:footnoteRef/>
      </w:r>
      <w:r>
        <w:t xml:space="preserve"> </w:t>
      </w:r>
      <w:r w:rsidRPr="00B274BA">
        <w:t xml:space="preserve">Alley, C. R., &amp; Bentley, D. (2014). IN NEED OF REFORM? A TRANS-TASMA PERSPECTIVE ON THE DEFINITION OF"RESIDENCE". Section 25(1) of the Income Tax Assessment Act </w:t>
      </w:r>
      <w:r w:rsidR="001C7287" w:rsidRPr="00B274BA">
        <w:t>1936,</w:t>
      </w:r>
      <w:r w:rsidRPr="00B274BA">
        <w:t xml:space="preserve"> 2-14.</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94" w:rsidRDefault="00DF1E94">
    <w:pPr>
      <w:pStyle w:val="Header"/>
    </w:pPr>
    <w:r>
      <w:ptab w:relativeTo="margin" w:alignment="center" w:leader="none"/>
    </w:r>
    <w:r w:rsidRPr="00DF1E94">
      <w:t>LAW303 TAXATION LAW</w:t>
    </w:r>
    <w:r>
      <w:ptab w:relativeTo="margin" w:alignment="right" w:leader="none"/>
    </w:r>
    <w:fldSimple w:instr=" PAGE   \* MERGEFORMAT ">
      <w:r w:rsidR="00AD2BBB">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A23CD"/>
    <w:multiLevelType w:val="multilevel"/>
    <w:tmpl w:val="46FC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6F4214"/>
    <w:rsid w:val="00031483"/>
    <w:rsid w:val="00031ED4"/>
    <w:rsid w:val="00055E54"/>
    <w:rsid w:val="00062635"/>
    <w:rsid w:val="00064B17"/>
    <w:rsid w:val="000B7B6D"/>
    <w:rsid w:val="000D1F81"/>
    <w:rsid w:val="00104641"/>
    <w:rsid w:val="0011386F"/>
    <w:rsid w:val="00114F7D"/>
    <w:rsid w:val="00172156"/>
    <w:rsid w:val="001843D0"/>
    <w:rsid w:val="00185D0F"/>
    <w:rsid w:val="001879B8"/>
    <w:rsid w:val="001B159D"/>
    <w:rsid w:val="001C7287"/>
    <w:rsid w:val="001F4F05"/>
    <w:rsid w:val="00230ABB"/>
    <w:rsid w:val="0026471E"/>
    <w:rsid w:val="00283A2D"/>
    <w:rsid w:val="002A4EFF"/>
    <w:rsid w:val="002D15A7"/>
    <w:rsid w:val="003133C6"/>
    <w:rsid w:val="00337FF5"/>
    <w:rsid w:val="00356A3B"/>
    <w:rsid w:val="00382B60"/>
    <w:rsid w:val="003D2D51"/>
    <w:rsid w:val="003D5E44"/>
    <w:rsid w:val="003E31C5"/>
    <w:rsid w:val="003E7B3B"/>
    <w:rsid w:val="004118D8"/>
    <w:rsid w:val="00427329"/>
    <w:rsid w:val="00447EEA"/>
    <w:rsid w:val="00461A58"/>
    <w:rsid w:val="004902DB"/>
    <w:rsid w:val="004D66C0"/>
    <w:rsid w:val="004E1975"/>
    <w:rsid w:val="004F4E38"/>
    <w:rsid w:val="00511A79"/>
    <w:rsid w:val="005360FA"/>
    <w:rsid w:val="00547108"/>
    <w:rsid w:val="00553284"/>
    <w:rsid w:val="00580986"/>
    <w:rsid w:val="0059063F"/>
    <w:rsid w:val="005A267F"/>
    <w:rsid w:val="005C0976"/>
    <w:rsid w:val="00612F91"/>
    <w:rsid w:val="00614180"/>
    <w:rsid w:val="006168C2"/>
    <w:rsid w:val="006234A2"/>
    <w:rsid w:val="00631B30"/>
    <w:rsid w:val="00636DE3"/>
    <w:rsid w:val="00637F44"/>
    <w:rsid w:val="006429DD"/>
    <w:rsid w:val="006A4455"/>
    <w:rsid w:val="006A744D"/>
    <w:rsid w:val="006B7640"/>
    <w:rsid w:val="006C0217"/>
    <w:rsid w:val="006C038C"/>
    <w:rsid w:val="006F4214"/>
    <w:rsid w:val="00700D05"/>
    <w:rsid w:val="00705887"/>
    <w:rsid w:val="007225AF"/>
    <w:rsid w:val="00725F4A"/>
    <w:rsid w:val="007426DD"/>
    <w:rsid w:val="00781B8F"/>
    <w:rsid w:val="007824E0"/>
    <w:rsid w:val="00793D49"/>
    <w:rsid w:val="007B2ED3"/>
    <w:rsid w:val="007C0EDF"/>
    <w:rsid w:val="007F7600"/>
    <w:rsid w:val="008568F6"/>
    <w:rsid w:val="00877F3A"/>
    <w:rsid w:val="00880E72"/>
    <w:rsid w:val="008A256E"/>
    <w:rsid w:val="008A6D44"/>
    <w:rsid w:val="008B3DA3"/>
    <w:rsid w:val="008E065C"/>
    <w:rsid w:val="008F4C5F"/>
    <w:rsid w:val="0090161B"/>
    <w:rsid w:val="009019B1"/>
    <w:rsid w:val="00902FB9"/>
    <w:rsid w:val="0091170B"/>
    <w:rsid w:val="00915B10"/>
    <w:rsid w:val="00942D5A"/>
    <w:rsid w:val="009542B8"/>
    <w:rsid w:val="00982FBD"/>
    <w:rsid w:val="009955EB"/>
    <w:rsid w:val="009A0840"/>
    <w:rsid w:val="009C7E60"/>
    <w:rsid w:val="009E21B4"/>
    <w:rsid w:val="009E3A25"/>
    <w:rsid w:val="009E3AEB"/>
    <w:rsid w:val="00A13CC8"/>
    <w:rsid w:val="00A228B4"/>
    <w:rsid w:val="00A33BC8"/>
    <w:rsid w:val="00A44020"/>
    <w:rsid w:val="00A73E36"/>
    <w:rsid w:val="00A823F0"/>
    <w:rsid w:val="00A83037"/>
    <w:rsid w:val="00A83E38"/>
    <w:rsid w:val="00AB45D2"/>
    <w:rsid w:val="00AD2BBB"/>
    <w:rsid w:val="00AF484F"/>
    <w:rsid w:val="00AF784C"/>
    <w:rsid w:val="00B10E59"/>
    <w:rsid w:val="00B274BA"/>
    <w:rsid w:val="00B30EE3"/>
    <w:rsid w:val="00B42E50"/>
    <w:rsid w:val="00B46885"/>
    <w:rsid w:val="00B565DB"/>
    <w:rsid w:val="00B96302"/>
    <w:rsid w:val="00BA18BC"/>
    <w:rsid w:val="00BC500F"/>
    <w:rsid w:val="00BD1DA7"/>
    <w:rsid w:val="00C0788A"/>
    <w:rsid w:val="00C23898"/>
    <w:rsid w:val="00C27E98"/>
    <w:rsid w:val="00C30F9A"/>
    <w:rsid w:val="00CA1AD8"/>
    <w:rsid w:val="00CA70E9"/>
    <w:rsid w:val="00CB7D1F"/>
    <w:rsid w:val="00CE773D"/>
    <w:rsid w:val="00D30F9C"/>
    <w:rsid w:val="00D57DDC"/>
    <w:rsid w:val="00D714D0"/>
    <w:rsid w:val="00D9344D"/>
    <w:rsid w:val="00DA494E"/>
    <w:rsid w:val="00DB7F81"/>
    <w:rsid w:val="00DC3123"/>
    <w:rsid w:val="00DD013D"/>
    <w:rsid w:val="00DE21B0"/>
    <w:rsid w:val="00DF1E94"/>
    <w:rsid w:val="00DF6DB0"/>
    <w:rsid w:val="00DF77BB"/>
    <w:rsid w:val="00E10E28"/>
    <w:rsid w:val="00E717E4"/>
    <w:rsid w:val="00E742CA"/>
    <w:rsid w:val="00E76C42"/>
    <w:rsid w:val="00E808E4"/>
    <w:rsid w:val="00E94454"/>
    <w:rsid w:val="00E96D8A"/>
    <w:rsid w:val="00EB11A5"/>
    <w:rsid w:val="00EB5439"/>
    <w:rsid w:val="00EB69E2"/>
    <w:rsid w:val="00ED066C"/>
    <w:rsid w:val="00ED5071"/>
    <w:rsid w:val="00ED50D7"/>
    <w:rsid w:val="00EE1446"/>
    <w:rsid w:val="00EE2CF5"/>
    <w:rsid w:val="00EE36AC"/>
    <w:rsid w:val="00EF1DEE"/>
    <w:rsid w:val="00F15942"/>
    <w:rsid w:val="00F43E5B"/>
    <w:rsid w:val="00F464AB"/>
    <w:rsid w:val="00F51061"/>
    <w:rsid w:val="00F51E97"/>
    <w:rsid w:val="00F64F2F"/>
    <w:rsid w:val="00F671DE"/>
    <w:rsid w:val="00F67F7E"/>
    <w:rsid w:val="00F71D56"/>
    <w:rsid w:val="00F81CEA"/>
    <w:rsid w:val="00F82A55"/>
    <w:rsid w:val="00F867C8"/>
    <w:rsid w:val="00F9554D"/>
    <w:rsid w:val="00F967C6"/>
    <w:rsid w:val="00FA1A8D"/>
    <w:rsid w:val="00FE0D2E"/>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DB"/>
  </w:style>
  <w:style w:type="paragraph" w:styleId="Heading1">
    <w:name w:val="heading 1"/>
    <w:basedOn w:val="Normal"/>
    <w:next w:val="Normal"/>
    <w:link w:val="Heading1Char"/>
    <w:uiPriority w:val="9"/>
    <w:qFormat/>
    <w:rsid w:val="0026471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A5"/>
    <w:rPr>
      <w:rFonts w:ascii="Tahoma" w:hAnsi="Tahoma" w:cs="Tahoma"/>
      <w:sz w:val="16"/>
      <w:szCs w:val="16"/>
    </w:rPr>
  </w:style>
  <w:style w:type="paragraph" w:styleId="Header">
    <w:name w:val="header"/>
    <w:basedOn w:val="Normal"/>
    <w:link w:val="HeaderChar"/>
    <w:uiPriority w:val="99"/>
    <w:semiHidden/>
    <w:unhideWhenUsed/>
    <w:rsid w:val="00DF1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1E94"/>
  </w:style>
  <w:style w:type="paragraph" w:styleId="Footer">
    <w:name w:val="footer"/>
    <w:basedOn w:val="Normal"/>
    <w:link w:val="FooterChar"/>
    <w:uiPriority w:val="99"/>
    <w:semiHidden/>
    <w:unhideWhenUsed/>
    <w:rsid w:val="00DF1E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1E94"/>
  </w:style>
  <w:style w:type="character" w:customStyle="1" w:styleId="Heading1Char">
    <w:name w:val="Heading 1 Char"/>
    <w:basedOn w:val="DefaultParagraphFont"/>
    <w:link w:val="Heading1"/>
    <w:uiPriority w:val="9"/>
    <w:rsid w:val="0026471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471E"/>
  </w:style>
  <w:style w:type="paragraph" w:styleId="FootnoteText">
    <w:name w:val="footnote text"/>
    <w:basedOn w:val="Normal"/>
    <w:link w:val="FootnoteTextChar"/>
    <w:uiPriority w:val="99"/>
    <w:semiHidden/>
    <w:unhideWhenUsed/>
    <w:rsid w:val="00B274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4BA"/>
    <w:rPr>
      <w:sz w:val="20"/>
      <w:szCs w:val="20"/>
    </w:rPr>
  </w:style>
  <w:style w:type="character" w:styleId="FootnoteReference">
    <w:name w:val="footnote reference"/>
    <w:basedOn w:val="DefaultParagraphFont"/>
    <w:uiPriority w:val="99"/>
    <w:semiHidden/>
    <w:unhideWhenUsed/>
    <w:rsid w:val="00B274BA"/>
    <w:rPr>
      <w:vertAlign w:val="superscript"/>
    </w:rPr>
  </w:style>
</w:styles>
</file>

<file path=word/webSettings.xml><?xml version="1.0" encoding="utf-8"?>
<w:webSettings xmlns:r="http://schemas.openxmlformats.org/officeDocument/2006/relationships" xmlns:w="http://schemas.openxmlformats.org/wordprocessingml/2006/main">
  <w:divs>
    <w:div w:id="229578240">
      <w:bodyDiv w:val="1"/>
      <w:marLeft w:val="0"/>
      <w:marRight w:val="0"/>
      <w:marTop w:val="0"/>
      <w:marBottom w:val="0"/>
      <w:divBdr>
        <w:top w:val="none" w:sz="0" w:space="0" w:color="auto"/>
        <w:left w:val="none" w:sz="0" w:space="0" w:color="auto"/>
        <w:bottom w:val="none" w:sz="0" w:space="0" w:color="auto"/>
        <w:right w:val="none" w:sz="0" w:space="0" w:color="auto"/>
      </w:divBdr>
    </w:div>
    <w:div w:id="284167004">
      <w:bodyDiv w:val="1"/>
      <w:marLeft w:val="0"/>
      <w:marRight w:val="0"/>
      <w:marTop w:val="0"/>
      <w:marBottom w:val="0"/>
      <w:divBdr>
        <w:top w:val="none" w:sz="0" w:space="0" w:color="auto"/>
        <w:left w:val="none" w:sz="0" w:space="0" w:color="auto"/>
        <w:bottom w:val="none" w:sz="0" w:space="0" w:color="auto"/>
        <w:right w:val="none" w:sz="0" w:space="0" w:color="auto"/>
      </w:divBdr>
    </w:div>
    <w:div w:id="723024090">
      <w:bodyDiv w:val="1"/>
      <w:marLeft w:val="0"/>
      <w:marRight w:val="0"/>
      <w:marTop w:val="0"/>
      <w:marBottom w:val="0"/>
      <w:divBdr>
        <w:top w:val="none" w:sz="0" w:space="0" w:color="auto"/>
        <w:left w:val="none" w:sz="0" w:space="0" w:color="auto"/>
        <w:bottom w:val="none" w:sz="0" w:space="0" w:color="auto"/>
        <w:right w:val="none" w:sz="0" w:space="0" w:color="auto"/>
      </w:divBdr>
    </w:div>
    <w:div w:id="1071388896">
      <w:bodyDiv w:val="1"/>
      <w:marLeft w:val="0"/>
      <w:marRight w:val="0"/>
      <w:marTop w:val="0"/>
      <w:marBottom w:val="0"/>
      <w:divBdr>
        <w:top w:val="none" w:sz="0" w:space="0" w:color="auto"/>
        <w:left w:val="none" w:sz="0" w:space="0" w:color="auto"/>
        <w:bottom w:val="none" w:sz="0" w:space="0" w:color="auto"/>
        <w:right w:val="none" w:sz="0" w:space="0" w:color="auto"/>
      </w:divBdr>
    </w:div>
    <w:div w:id="1398164679">
      <w:bodyDiv w:val="1"/>
      <w:marLeft w:val="0"/>
      <w:marRight w:val="0"/>
      <w:marTop w:val="0"/>
      <w:marBottom w:val="0"/>
      <w:divBdr>
        <w:top w:val="none" w:sz="0" w:space="0" w:color="auto"/>
        <w:left w:val="none" w:sz="0" w:space="0" w:color="auto"/>
        <w:bottom w:val="none" w:sz="0" w:space="0" w:color="auto"/>
        <w:right w:val="none" w:sz="0" w:space="0" w:color="auto"/>
      </w:divBdr>
    </w:div>
    <w:div w:id="1703284984">
      <w:bodyDiv w:val="1"/>
      <w:marLeft w:val="0"/>
      <w:marRight w:val="0"/>
      <w:marTop w:val="0"/>
      <w:marBottom w:val="0"/>
      <w:divBdr>
        <w:top w:val="none" w:sz="0" w:space="0" w:color="auto"/>
        <w:left w:val="none" w:sz="0" w:space="0" w:color="auto"/>
        <w:bottom w:val="none" w:sz="0" w:space="0" w:color="auto"/>
        <w:right w:val="none" w:sz="0" w:space="0" w:color="auto"/>
      </w:divBdr>
      <w:divsChild>
        <w:div w:id="314380553">
          <w:marLeft w:val="0"/>
          <w:marRight w:val="0"/>
          <w:marTop w:val="0"/>
          <w:marBottom w:val="0"/>
          <w:divBdr>
            <w:top w:val="none" w:sz="0" w:space="0" w:color="auto"/>
            <w:left w:val="none" w:sz="0" w:space="0" w:color="auto"/>
            <w:bottom w:val="none" w:sz="0" w:space="0" w:color="auto"/>
            <w:right w:val="none" w:sz="0" w:space="0" w:color="auto"/>
          </w:divBdr>
        </w:div>
        <w:div w:id="188953950">
          <w:marLeft w:val="0"/>
          <w:marRight w:val="0"/>
          <w:marTop w:val="0"/>
          <w:marBottom w:val="0"/>
          <w:divBdr>
            <w:top w:val="none" w:sz="0" w:space="0" w:color="auto"/>
            <w:left w:val="none" w:sz="0" w:space="0" w:color="auto"/>
            <w:bottom w:val="none" w:sz="0" w:space="0" w:color="auto"/>
            <w:right w:val="none" w:sz="0" w:space="0" w:color="auto"/>
          </w:divBdr>
        </w:div>
      </w:divsChild>
    </w:div>
    <w:div w:id="192761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2A78"/>
    <w:rsid w:val="00A979A6"/>
    <w:rsid w:val="00B92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575E7216954CBBB071D4BE32140CC8">
    <w:name w:val="7F575E7216954CBBB071D4BE32140CC8"/>
    <w:rsid w:val="00B92A78"/>
  </w:style>
  <w:style w:type="paragraph" w:customStyle="1" w:styleId="7C5229A425C94D7D88ACE4347C3E883A">
    <w:name w:val="7C5229A425C94D7D88ACE4347C3E883A"/>
    <w:rsid w:val="00B92A78"/>
  </w:style>
  <w:style w:type="paragraph" w:customStyle="1" w:styleId="E9FF1343F6844B35929E26497058F219">
    <w:name w:val="E9FF1343F6844B35929E26497058F219"/>
    <w:rsid w:val="00B92A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Mic155</b:Tag>
    <b:SourceType>JournalArticle</b:SourceType>
    <b:Guid>{E192E3B4-176A-4805-BC05-31A24DC51646}</b:Guid>
    <b:LCID>0</b:LCID>
    <b:Author>
      <b:Author>
        <b:NameList>
          <b:Person>
            <b:Last>Tylor</b:Last>
            <b:First>Michael</b:First>
          </b:Person>
        </b:NameList>
      </b:Author>
    </b:Author>
    <b:Title>Compliance Risk Management: Managing and Improving Tax Compliance</b:Title>
    <b:JournalName>Managing and Improving Tax Compliance </b:JournalName>
    <b:Year>2015</b:Year>
    <b:Pages>2-15</b:Pages>
    <b:RefOrder>6</b:RefOrder>
  </b:Source>
  <b:Source>
    <b:Tag>War10</b:Tag>
    <b:SourceType>JournalArticle</b:SourceType>
    <b:Guid>{D74C717E-3371-46CD-8B5E-DBBE120F70E8}</b:Guid>
    <b:LCID>0</b:LCID>
    <b:Author>
      <b:Author>
        <b:NameList>
          <b:Person>
            <b:Last>Warner</b:Last>
            <b:First>Helen</b:First>
          </b:Person>
          <b:Person>
            <b:Last>Pengilley</b:Last>
            <b:First>David</b:First>
          </b:Person>
          <b:Person>
            <b:Last>Glass</b:Last>
            <b:First>Peter</b:First>
          </b:Person>
        </b:NameList>
      </b:Author>
    </b:Author>
    <b:Title>Review of aspects of the Australian Taxation Offi ce’s administration of privatebinding rulings</b:Title>
    <b:JournalName>Inspector-General of Taxation</b:JournalName>
    <b:Year>2010</b:Year>
    <b:Pages>2-15</b:Pages>
    <b:RefOrder>2</b:RefOrder>
  </b:Source>
  <b:Source>
    <b:Tag>All14</b:Tag>
    <b:SourceType>JournalArticle</b:SourceType>
    <b:Guid>{E3E944B0-B87E-4C52-8F76-6DEA5DB44972}</b:Guid>
    <b:LCID>0</b:LCID>
    <b:Author>
      <b:Author>
        <b:NameList>
          <b:Person>
            <b:Last>Alley</b:Last>
            <b:First>Clinton</b:First>
            <b:Middle>R</b:Middle>
          </b:Person>
          <b:Person>
            <b:Last>Bentley</b:Last>
            <b:First>Duncan</b:First>
          </b:Person>
        </b:NameList>
      </b:Author>
    </b:Author>
    <b:Title>IN NEED OF REFORM? A TRANS-TASMA PERSPECTIVE ON THE DEFINITION OF"RESIDENCE"</b:Title>
    <b:JournalName>Section 25(1) of the Income Tax Assessment Act 1936</b:JournalName>
    <b:Year>2014</b:Year>
    <b:Pages>2-14</b:Pages>
    <b:RefOrder>5</b:RefOrder>
  </b:Source>
  <b:Source>
    <b:Tag>Bus</b:Tag>
    <b:SourceType>JournalArticle</b:SourceType>
    <b:Guid>{79843C0E-65A4-4677-B29D-45B23BE27700}</b:Guid>
    <b:LCID>0</b:LCID>
    <b:Author>
      <b:Author>
        <b:Corporate>Businessgove.au</b:Corporate>
      </b:Author>
    </b:Author>
    <b:Title>Fringe Benefits Tax (FBT)</b:Title>
    <b:JournalName>https://www.business.gov.au/finance/taxation/fringe-benefits-tax</b:JournalName>
    <b:Year>2019</b:Year>
    <b:Pages>2-15</b:Pages>
    <b:RefOrder>4</b:RefOrder>
  </b:Source>
  <b:Source>
    <b:Tag>Aus14</b:Tag>
    <b:SourceType>JournalArticle</b:SourceType>
    <b:Guid>{086AB19D-6290-4C95-8115-5421E74D136D}</b:Guid>
    <b:LCID>0</b:LCID>
    <b:Author>
      <b:Author>
        <b:Corporate>Australia taxation office</b:Corporate>
      </b:Author>
    </b:Author>
    <b:Title>Taxation Ruling</b:Title>
    <b:JournalName>https://www.ato.gov.au/law/view/document?Docid=ITR/IT2650/NAT/ATO/00001</b:JournalName>
    <b:Year>2014</b:Year>
    <b:Pages>2-15</b:Pages>
    <b:RefOrder>3</b:RefOrder>
  </b:Source>
  <b:Source>
    <b:Tag>Hal17</b:Tag>
    <b:SourceType>JournalArticle</b:SourceType>
    <b:Guid>{B77652B6-83F9-43C9-8C6A-80391D95E215}</b:Guid>
    <b:LCID>0</b:LCID>
    <b:Author>
      <b:Author>
        <b:Corporate>Hall and Willcock Advocate</b:Corporate>
      </b:Author>
    </b:Author>
    <b:Title>A Guide To Taxation In Australia</b:Title>
    <b:JournalName>https://hallandwilcox.com.au/thinking/a-guide-to-taxation-in-australia/</b:JournalName>
    <b:Year>2017</b:Year>
    <b:Pages>2-15</b:Pages>
    <b:RefOrder>1</b:RefOrder>
  </b:Source>
</b:Sources>
</file>

<file path=customXml/itemProps1.xml><?xml version="1.0" encoding="utf-8"?>
<ds:datastoreItem xmlns:ds="http://schemas.openxmlformats.org/officeDocument/2006/customXml" ds:itemID="{CD9DA54B-4C3F-427D-92EB-7354D3E2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182</cp:revision>
  <dcterms:created xsi:type="dcterms:W3CDTF">2019-10-09T05:15:00Z</dcterms:created>
  <dcterms:modified xsi:type="dcterms:W3CDTF">2019-10-10T01:33:00Z</dcterms:modified>
</cp:coreProperties>
</file>