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025125A1" w:rsidR="00E81978" w:rsidRDefault="0090338A">
      <w:pPr>
        <w:pStyle w:val="Title"/>
      </w:pPr>
      <w:r>
        <w:t>Case Brief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8FDB1AE" w:rsidR="00E81978" w:rsidRDefault="001E4A6B" w:rsidP="00B823AA">
      <w:pPr>
        <w:pStyle w:val="Title2"/>
      </w:pPr>
      <w:r>
        <w:lastRenderedPageBreak/>
        <w:t>Case Brief</w:t>
      </w:r>
    </w:p>
    <w:p w14:paraId="67963F38" w14:textId="32CB73BB" w:rsidR="00675DF2" w:rsidRPr="005814B1" w:rsidRDefault="00675DF2" w:rsidP="00675DF2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Case name and Year</w:t>
      </w:r>
      <w:r w:rsidR="00B02633" w:rsidRPr="005814B1">
        <w:rPr>
          <w:b/>
        </w:rPr>
        <w:t xml:space="preserve"> </w:t>
      </w:r>
    </w:p>
    <w:p w14:paraId="4223AC64" w14:textId="2A6A0986" w:rsidR="00B02633" w:rsidRDefault="00B02633" w:rsidP="00B02633">
      <w:pPr>
        <w:pStyle w:val="Title2"/>
        <w:ind w:left="720"/>
        <w:jc w:val="left"/>
      </w:pPr>
      <w:r>
        <w:t>Lorenzo v. Sec, 17-1077</w:t>
      </w:r>
    </w:p>
    <w:p w14:paraId="40FC14B9" w14:textId="5578ECD4" w:rsidR="00B02633" w:rsidRDefault="00B02633" w:rsidP="00B02633">
      <w:pPr>
        <w:pStyle w:val="Title2"/>
        <w:ind w:left="720"/>
        <w:jc w:val="left"/>
      </w:pPr>
      <w:r>
        <w:t>United States Supreme Court, 2019</w:t>
      </w:r>
    </w:p>
    <w:p w14:paraId="7BEEB582" w14:textId="5725B098" w:rsidR="00675DF2" w:rsidRPr="005814B1" w:rsidRDefault="00675DF2" w:rsidP="00675DF2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Area of Law</w:t>
      </w:r>
    </w:p>
    <w:p w14:paraId="5BF48EA9" w14:textId="1F12F15C" w:rsidR="00CB5B67" w:rsidRDefault="00CB5B67" w:rsidP="00CB5B67">
      <w:pPr>
        <w:pStyle w:val="Title2"/>
        <w:ind w:left="720"/>
        <w:jc w:val="left"/>
      </w:pPr>
      <w:r>
        <w:t>U.S. Constitution</w:t>
      </w:r>
      <w:r w:rsidR="00931FB1">
        <w:t>—Securities Law</w:t>
      </w:r>
    </w:p>
    <w:p w14:paraId="229650CB" w14:textId="1EA2EBB6" w:rsidR="00675DF2" w:rsidRPr="005814B1" w:rsidRDefault="00675DF2" w:rsidP="00675DF2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Facts</w:t>
      </w:r>
    </w:p>
    <w:p w14:paraId="6B397344" w14:textId="1551799F" w:rsidR="00675DF2" w:rsidRDefault="00675DF2" w:rsidP="00231D75">
      <w:pPr>
        <w:pStyle w:val="Title2"/>
        <w:numPr>
          <w:ilvl w:val="0"/>
          <w:numId w:val="17"/>
        </w:numPr>
        <w:ind w:left="426"/>
        <w:jc w:val="left"/>
      </w:pPr>
      <w:r>
        <w:t>Relevant background information</w:t>
      </w:r>
    </w:p>
    <w:p w14:paraId="71B3884C" w14:textId="79FCE021" w:rsidR="00794ABE" w:rsidRDefault="00794ABE" w:rsidP="00231D75">
      <w:pPr>
        <w:pStyle w:val="Title2"/>
        <w:ind w:left="426" w:firstLine="720"/>
        <w:jc w:val="left"/>
      </w:pPr>
      <w:r>
        <w:t xml:space="preserve">Lorenzo, a senior -level investment banker intentionally shared </w:t>
      </w:r>
      <w:r w:rsidR="003C00CE">
        <w:t xml:space="preserve">false statements about the total assets of the company to potential investors in the form of </w:t>
      </w:r>
      <w:r w:rsidR="00B73E6B">
        <w:t>emails. Lorenzo come</w:t>
      </w:r>
      <w:r w:rsidR="006A4A7C">
        <w:t>s</w:t>
      </w:r>
      <w:r w:rsidR="00B73E6B">
        <w:t xml:space="preserve"> up with the opinion that he shared this form of information on behalf of his boss so, he is not liable to share false information to others about the total </w:t>
      </w:r>
      <w:r w:rsidR="00AC2821">
        <w:t>resources of the company. It is important to indicate that Lorenzo ha</w:t>
      </w:r>
      <w:r w:rsidR="006A4A7C">
        <w:t>s</w:t>
      </w:r>
      <w:r w:rsidR="00AC2821">
        <w:t xml:space="preserve"> </w:t>
      </w:r>
      <w:r w:rsidR="006A4A7C">
        <w:t xml:space="preserve">a </w:t>
      </w:r>
      <w:r w:rsidR="00AC2821">
        <w:t xml:space="preserve">prior understanding that the company’s assets </w:t>
      </w:r>
      <w:r w:rsidR="001E4C28">
        <w:t>were</w:t>
      </w:r>
      <w:r w:rsidR="00AC2821">
        <w:t xml:space="preserve"> not up to</w:t>
      </w:r>
      <w:r w:rsidR="001E4C28">
        <w:t xml:space="preserve"> $400,000</w:t>
      </w:r>
      <w:r w:rsidR="00AC2821">
        <w:t xml:space="preserve"> </w:t>
      </w:r>
      <w:r w:rsidR="001E4C28">
        <w:t xml:space="preserve">mentioned by him in the emails to the target clients. </w:t>
      </w:r>
    </w:p>
    <w:p w14:paraId="1ACED679" w14:textId="35C28A74" w:rsidR="00CB7B94" w:rsidRPr="00EF46FF" w:rsidRDefault="00CB7B94" w:rsidP="00231D75">
      <w:pPr>
        <w:pStyle w:val="Title2"/>
        <w:numPr>
          <w:ilvl w:val="0"/>
          <w:numId w:val="17"/>
        </w:numPr>
        <w:ind w:left="426"/>
        <w:jc w:val="left"/>
      </w:pPr>
      <w:r w:rsidRPr="00EF46FF">
        <w:t>Legal arguments made by the plaintiff(s) and defendants(s)</w:t>
      </w:r>
      <w:bookmarkStart w:id="0" w:name="_GoBack"/>
      <w:bookmarkEnd w:id="0"/>
    </w:p>
    <w:p w14:paraId="189A5362" w14:textId="32B66272" w:rsidR="0049597E" w:rsidRDefault="00E53EDE" w:rsidP="00DC7CCC">
      <w:pPr>
        <w:pStyle w:val="Title2"/>
        <w:ind w:left="567" w:firstLine="709"/>
        <w:jc w:val="left"/>
      </w:pPr>
      <w:r>
        <w:t xml:space="preserve">The basic legal argument presented by Lorenzo in the form of </w:t>
      </w:r>
      <w:r w:rsidR="006A4A7C">
        <w:t xml:space="preserve">the </w:t>
      </w:r>
      <w:r>
        <w:t xml:space="preserve">plaintiff was that </w:t>
      </w:r>
      <w:r w:rsidR="009102F2">
        <w:t xml:space="preserve">he was directed by his boss to share incorrect information about </w:t>
      </w:r>
      <w:r w:rsidR="00DC6638">
        <w:t xml:space="preserve">company’s assets to the investors so he could not be considered as </w:t>
      </w:r>
      <w:r w:rsidR="00615FD1">
        <w:t>legally responsible for all this development</w:t>
      </w:r>
      <w:r w:rsidR="003219AE">
        <w:t xml:space="preserve"> </w:t>
      </w:r>
      <w:r w:rsidR="00F47F28">
        <w:t>(</w:t>
      </w:r>
      <w:r w:rsidR="003219AE">
        <w:t>Lorenzo v. Sec, 17-1077</w:t>
      </w:r>
      <w:r w:rsidR="00F47F28">
        <w:t>)</w:t>
      </w:r>
      <w:r w:rsidR="00615FD1">
        <w:t xml:space="preserve">. </w:t>
      </w:r>
      <w:r w:rsidR="001A0000">
        <w:t xml:space="preserve">On the other hand, this argument was rejected by the U.S. Supreme Court with the justification of the basic approach of federal securities laws. </w:t>
      </w:r>
    </w:p>
    <w:p w14:paraId="19EB90C0" w14:textId="7D1CC759" w:rsidR="009E06A6" w:rsidRDefault="009E06A6" w:rsidP="00DC7CCC">
      <w:pPr>
        <w:pStyle w:val="Title2"/>
        <w:ind w:left="567" w:firstLine="709"/>
        <w:jc w:val="left"/>
      </w:pPr>
    </w:p>
    <w:p w14:paraId="5418AAF9" w14:textId="51640638" w:rsidR="009E06A6" w:rsidRDefault="009E06A6" w:rsidP="00DC7CCC">
      <w:pPr>
        <w:pStyle w:val="Title2"/>
        <w:ind w:left="567" w:firstLine="709"/>
        <w:jc w:val="left"/>
      </w:pPr>
    </w:p>
    <w:p w14:paraId="054F848A" w14:textId="77777777" w:rsidR="009E06A6" w:rsidRDefault="009E06A6" w:rsidP="00DC7CCC">
      <w:pPr>
        <w:pStyle w:val="Title2"/>
        <w:ind w:left="567" w:firstLine="709"/>
        <w:jc w:val="left"/>
      </w:pPr>
    </w:p>
    <w:p w14:paraId="4CFB09F0" w14:textId="279B7C59" w:rsidR="00CB7B94" w:rsidRDefault="00CB7B94" w:rsidP="0049597E">
      <w:pPr>
        <w:pStyle w:val="Title2"/>
        <w:numPr>
          <w:ilvl w:val="0"/>
          <w:numId w:val="19"/>
        </w:numPr>
        <w:jc w:val="left"/>
      </w:pPr>
      <w:r>
        <w:lastRenderedPageBreak/>
        <w:t>Decisions made by lower courts</w:t>
      </w:r>
    </w:p>
    <w:p w14:paraId="3260AC3B" w14:textId="6F9EDDAC" w:rsidR="00805835" w:rsidRDefault="00805835" w:rsidP="00DC7CCC">
      <w:pPr>
        <w:pStyle w:val="Title2"/>
        <w:ind w:left="709" w:firstLine="360"/>
        <w:jc w:val="left"/>
      </w:pPr>
      <w:r>
        <w:t xml:space="preserve">The Court of Appeals formulated the decision that sharing false information by Lorenzo to investors had eventually violated </w:t>
      </w:r>
      <w:r w:rsidR="00C077EC">
        <w:t>different crucial parts of Rule 10b</w:t>
      </w:r>
      <w:r w:rsidR="002D380C">
        <w:t xml:space="preserve"> </w:t>
      </w:r>
      <w:r w:rsidR="00C077EC">
        <w:t xml:space="preserve">-5, subsections (a) and (c), </w:t>
      </w:r>
      <w:r w:rsidR="00B73D30">
        <w:t xml:space="preserve">as well </w:t>
      </w:r>
      <w:r w:rsidR="00B73D30" w:rsidRPr="00B73D30">
        <w:rPr>
          <w:rFonts w:cstheme="minorHAnsi"/>
          <w:color w:val="000000"/>
          <w:shd w:val="clear" w:color="auto" w:fill="FFFFFF"/>
        </w:rPr>
        <w:t>§10(b) and §17(a)(1)</w:t>
      </w:r>
      <w:r w:rsidR="002D380C">
        <w:rPr>
          <w:rFonts w:cstheme="minorHAnsi"/>
          <w:color w:val="000000"/>
          <w:shd w:val="clear" w:color="auto" w:fill="FFFFFF"/>
        </w:rPr>
        <w:t xml:space="preserve">. </w:t>
      </w:r>
    </w:p>
    <w:p w14:paraId="24208DB3" w14:textId="5BC6BB33" w:rsidR="00CB7B94" w:rsidRPr="005814B1" w:rsidRDefault="007D066C" w:rsidP="00CB7B94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Legal Issue</w:t>
      </w:r>
    </w:p>
    <w:p w14:paraId="72087442" w14:textId="32EAF36A" w:rsidR="00A76B3A" w:rsidRDefault="00DB5FDA" w:rsidP="00A76B3A">
      <w:pPr>
        <w:pStyle w:val="Title2"/>
        <w:ind w:left="720"/>
        <w:jc w:val="left"/>
      </w:pPr>
      <w:r>
        <w:t xml:space="preserve">Making decisions about misleading information with the aim of defrauding within the approach of Rule 10b-5 (a) and (c). </w:t>
      </w:r>
    </w:p>
    <w:p w14:paraId="5B5D7C3A" w14:textId="702BA001" w:rsidR="007D066C" w:rsidRPr="005814B1" w:rsidRDefault="007D066C" w:rsidP="00CB7B94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Decision</w:t>
      </w:r>
    </w:p>
    <w:p w14:paraId="54A643F1" w14:textId="7ECDD2F6" w:rsidR="00E94E70" w:rsidRDefault="003C1C96" w:rsidP="00E94E70">
      <w:pPr>
        <w:pStyle w:val="Title2"/>
        <w:ind w:left="720"/>
        <w:jc w:val="left"/>
      </w:pPr>
      <w:r>
        <w:t>The U.S. Supreme Court come up with the decision that the entire legal conduct should be consider</w:t>
      </w:r>
      <w:r w:rsidR="006A4A7C">
        <w:t>ed</w:t>
      </w:r>
      <w:r>
        <w:t xml:space="preserve"> in the form of federal securities law</w:t>
      </w:r>
      <w:r w:rsidR="000D7F42">
        <w:t xml:space="preserve">s considering the perspective of </w:t>
      </w:r>
      <w:r w:rsidR="006A4A7C">
        <w:t xml:space="preserve">the </w:t>
      </w:r>
      <w:r w:rsidR="000D7F42">
        <w:t xml:space="preserve">ruling of the Securities and Exchange Commission. </w:t>
      </w:r>
    </w:p>
    <w:p w14:paraId="5EDE6B2D" w14:textId="7732806B" w:rsidR="007D066C" w:rsidRPr="005814B1" w:rsidRDefault="007D066C" w:rsidP="00CB7B94">
      <w:pPr>
        <w:pStyle w:val="Title2"/>
        <w:numPr>
          <w:ilvl w:val="0"/>
          <w:numId w:val="16"/>
        </w:numPr>
        <w:jc w:val="left"/>
        <w:rPr>
          <w:b/>
        </w:rPr>
      </w:pPr>
      <w:r w:rsidRPr="005814B1">
        <w:rPr>
          <w:b/>
        </w:rPr>
        <w:t>Three Reasons</w:t>
      </w:r>
    </w:p>
    <w:p w14:paraId="67758F71" w14:textId="30D9BC0E" w:rsidR="00790E94" w:rsidRDefault="00790E94" w:rsidP="00790E94">
      <w:pPr>
        <w:pStyle w:val="Title2"/>
        <w:numPr>
          <w:ilvl w:val="0"/>
          <w:numId w:val="18"/>
        </w:numPr>
        <w:jc w:val="left"/>
      </w:pPr>
      <w:r>
        <w:t>Considering the aspect of device, scheme, or artifice to defraud</w:t>
      </w:r>
    </w:p>
    <w:p w14:paraId="2C1032CA" w14:textId="39232506" w:rsidR="00790E94" w:rsidRDefault="00445791" w:rsidP="00790E94">
      <w:pPr>
        <w:pStyle w:val="Title2"/>
        <w:numPr>
          <w:ilvl w:val="0"/>
          <w:numId w:val="18"/>
        </w:numPr>
        <w:jc w:val="left"/>
      </w:pPr>
      <w:r>
        <w:t xml:space="preserve">Maintaining a clear line between primary and secondary liability when it comes to </w:t>
      </w:r>
      <w:r w:rsidR="006A4A7C">
        <w:t xml:space="preserve">the </w:t>
      </w:r>
      <w:r>
        <w:t xml:space="preserve">handling of fraudulent-misstatement cases. </w:t>
      </w:r>
    </w:p>
    <w:p w14:paraId="4EC5EDA9" w14:textId="65B33197" w:rsidR="0063368C" w:rsidRDefault="00E36791" w:rsidP="00790E94">
      <w:pPr>
        <w:pStyle w:val="Title2"/>
        <w:numPr>
          <w:ilvl w:val="0"/>
          <w:numId w:val="18"/>
        </w:numPr>
        <w:jc w:val="left"/>
      </w:pPr>
      <w:r>
        <w:t xml:space="preserve">Considering </w:t>
      </w:r>
      <w:r w:rsidR="006A4A7C">
        <w:t xml:space="preserve">the </w:t>
      </w:r>
      <w:r>
        <w:t xml:space="preserve">majority’s opinion concerning the idea of renders Janus. There is </w:t>
      </w:r>
      <w:r w:rsidR="006A4A7C">
        <w:t xml:space="preserve">a </w:t>
      </w:r>
      <w:r>
        <w:t xml:space="preserve">need </w:t>
      </w:r>
      <w:r w:rsidR="006A4A7C">
        <w:t>for</w:t>
      </w:r>
      <w:r>
        <w:t xml:space="preserve"> offering liability under Rule </w:t>
      </w:r>
      <w:r w:rsidRPr="000C2C98">
        <w:t>10b</w:t>
      </w:r>
      <w:r w:rsidR="004420A5" w:rsidRPr="000C2C98">
        <w:t xml:space="preserve"> -5</w:t>
      </w:r>
      <w:r w:rsidR="004420A5">
        <w:rPr>
          <w:vertAlign w:val="subscript"/>
        </w:rPr>
        <w:t xml:space="preserve"> </w:t>
      </w:r>
      <w:r w:rsidR="004420A5" w:rsidRPr="004420A5">
        <w:t>(b)</w:t>
      </w:r>
      <w:r w:rsidR="004420A5">
        <w:t xml:space="preserve">. </w:t>
      </w:r>
    </w:p>
    <w:p w14:paraId="268256E8" w14:textId="77777777" w:rsidR="0063368C" w:rsidRDefault="0063368C">
      <w:r>
        <w:br w:type="page"/>
      </w:r>
    </w:p>
    <w:p w14:paraId="45D05E01" w14:textId="6AF09784" w:rsidR="00445791" w:rsidRDefault="0063368C" w:rsidP="00F47F28">
      <w:pPr>
        <w:pStyle w:val="Title2"/>
      </w:pPr>
      <w:r>
        <w:lastRenderedPageBreak/>
        <w:t>References</w:t>
      </w:r>
    </w:p>
    <w:p w14:paraId="2AF19359" w14:textId="63AA168F" w:rsidR="0063368C" w:rsidRDefault="0063368C" w:rsidP="0063368C">
      <w:pPr>
        <w:pStyle w:val="Title2"/>
        <w:ind w:left="720" w:hanging="720"/>
        <w:jc w:val="left"/>
      </w:pPr>
      <w:r w:rsidRPr="0063368C">
        <w:t xml:space="preserve">FindLaw's United States Supreme Court case and </w:t>
      </w:r>
      <w:r w:rsidRPr="0063368C">
        <w:t>opinions.</w:t>
      </w:r>
      <w:r w:rsidRPr="0063368C">
        <w:t xml:space="preserve"> (2019). </w:t>
      </w:r>
      <w:proofErr w:type="spellStart"/>
      <w:r w:rsidRPr="0063368C">
        <w:t>Findlaw</w:t>
      </w:r>
      <w:proofErr w:type="spellEnd"/>
      <w:r w:rsidRPr="0063368C">
        <w:t>. Retrieved from https://caselaw.findlaw.com/summary/opinion/us-supreme-court/2019/03/27/286070.html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E5D6" w14:textId="77777777" w:rsidR="003D71A3" w:rsidRDefault="003D71A3">
      <w:pPr>
        <w:spacing w:line="240" w:lineRule="auto"/>
      </w:pPr>
      <w:r>
        <w:separator/>
      </w:r>
    </w:p>
    <w:p w14:paraId="3D8B15D7" w14:textId="77777777" w:rsidR="003D71A3" w:rsidRDefault="003D71A3"/>
  </w:endnote>
  <w:endnote w:type="continuationSeparator" w:id="0">
    <w:p w14:paraId="5391C4B4" w14:textId="77777777" w:rsidR="003D71A3" w:rsidRDefault="003D71A3">
      <w:pPr>
        <w:spacing w:line="240" w:lineRule="auto"/>
      </w:pPr>
      <w:r>
        <w:continuationSeparator/>
      </w:r>
    </w:p>
    <w:p w14:paraId="1A340044" w14:textId="77777777" w:rsidR="003D71A3" w:rsidRDefault="003D7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D5FB" w14:textId="77777777" w:rsidR="003D71A3" w:rsidRDefault="003D71A3">
      <w:pPr>
        <w:spacing w:line="240" w:lineRule="auto"/>
      </w:pPr>
      <w:r>
        <w:separator/>
      </w:r>
    </w:p>
    <w:p w14:paraId="130AE237" w14:textId="77777777" w:rsidR="003D71A3" w:rsidRDefault="003D71A3"/>
  </w:footnote>
  <w:footnote w:type="continuationSeparator" w:id="0">
    <w:p w14:paraId="2AB6D8B7" w14:textId="77777777" w:rsidR="003D71A3" w:rsidRDefault="003D71A3">
      <w:pPr>
        <w:spacing w:line="240" w:lineRule="auto"/>
      </w:pPr>
      <w:r>
        <w:continuationSeparator/>
      </w:r>
    </w:p>
    <w:p w14:paraId="43A4BF4B" w14:textId="77777777" w:rsidR="003D71A3" w:rsidRDefault="003D7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0CB7D036" w:rsidR="00E81978" w:rsidRDefault="001E4A6B">
    <w:pPr>
      <w:pStyle w:val="Header"/>
    </w:pPr>
    <w:r>
      <w:rPr>
        <w:rStyle w:val="Strong"/>
      </w:rPr>
      <w:t>business and management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1419D33B" w:rsidR="00E81978" w:rsidRDefault="005D3A03">
    <w:pPr>
      <w:pStyle w:val="Header"/>
      <w:rPr>
        <w:rStyle w:val="Strong"/>
      </w:rPr>
    </w:pPr>
    <w:r>
      <w:t xml:space="preserve">Running head: </w:t>
    </w:r>
    <w:r w:rsidR="0090338A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0338A">
      <w:rPr>
        <w:rStyle w:val="Strong"/>
        <w:caps w:val="0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2FE3BA4"/>
    <w:multiLevelType w:val="hybridMultilevel"/>
    <w:tmpl w:val="0DE44160"/>
    <w:lvl w:ilvl="0" w:tplc="E19CB1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EFB"/>
    <w:multiLevelType w:val="hybridMultilevel"/>
    <w:tmpl w:val="B2086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04F3FB4"/>
    <w:multiLevelType w:val="hybridMultilevel"/>
    <w:tmpl w:val="4A42374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3F4830"/>
    <w:multiLevelType w:val="hybridMultilevel"/>
    <w:tmpl w:val="2D02F1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A40AE"/>
    <w:rsid w:val="000B50A6"/>
    <w:rsid w:val="000C2C98"/>
    <w:rsid w:val="000D3F41"/>
    <w:rsid w:val="000D7F42"/>
    <w:rsid w:val="000E5FB3"/>
    <w:rsid w:val="001A0000"/>
    <w:rsid w:val="001E4A6B"/>
    <w:rsid w:val="001E4C28"/>
    <w:rsid w:val="00231D75"/>
    <w:rsid w:val="002D380C"/>
    <w:rsid w:val="003219AE"/>
    <w:rsid w:val="00355DCA"/>
    <w:rsid w:val="003C00CE"/>
    <w:rsid w:val="003C1C96"/>
    <w:rsid w:val="003D71A3"/>
    <w:rsid w:val="004420A5"/>
    <w:rsid w:val="00445791"/>
    <w:rsid w:val="004724D7"/>
    <w:rsid w:val="0049597E"/>
    <w:rsid w:val="00551A02"/>
    <w:rsid w:val="005534FA"/>
    <w:rsid w:val="005757D5"/>
    <w:rsid w:val="005814B1"/>
    <w:rsid w:val="005B3381"/>
    <w:rsid w:val="005B3A43"/>
    <w:rsid w:val="005C39B5"/>
    <w:rsid w:val="005D3A03"/>
    <w:rsid w:val="00615FD1"/>
    <w:rsid w:val="0063368C"/>
    <w:rsid w:val="00675DF2"/>
    <w:rsid w:val="00695BE3"/>
    <w:rsid w:val="006A4A7C"/>
    <w:rsid w:val="00723F93"/>
    <w:rsid w:val="00790E94"/>
    <w:rsid w:val="00794ABE"/>
    <w:rsid w:val="007D066C"/>
    <w:rsid w:val="008002C0"/>
    <w:rsid w:val="00805835"/>
    <w:rsid w:val="008B6C11"/>
    <w:rsid w:val="008C5323"/>
    <w:rsid w:val="008D477A"/>
    <w:rsid w:val="0090338A"/>
    <w:rsid w:val="009102F2"/>
    <w:rsid w:val="00931FB1"/>
    <w:rsid w:val="00945FD0"/>
    <w:rsid w:val="009A6A3B"/>
    <w:rsid w:val="009E06A6"/>
    <w:rsid w:val="00A345C6"/>
    <w:rsid w:val="00A76B3A"/>
    <w:rsid w:val="00AC2821"/>
    <w:rsid w:val="00B02633"/>
    <w:rsid w:val="00B04FE9"/>
    <w:rsid w:val="00B40D78"/>
    <w:rsid w:val="00B73D30"/>
    <w:rsid w:val="00B73E6B"/>
    <w:rsid w:val="00B823AA"/>
    <w:rsid w:val="00BA45DB"/>
    <w:rsid w:val="00BF4184"/>
    <w:rsid w:val="00C0601E"/>
    <w:rsid w:val="00C077EC"/>
    <w:rsid w:val="00C31D30"/>
    <w:rsid w:val="00CB5B67"/>
    <w:rsid w:val="00CB7B94"/>
    <w:rsid w:val="00CD6E39"/>
    <w:rsid w:val="00CF6E91"/>
    <w:rsid w:val="00D65965"/>
    <w:rsid w:val="00D85B68"/>
    <w:rsid w:val="00DB5FDA"/>
    <w:rsid w:val="00DC6638"/>
    <w:rsid w:val="00DC7CCC"/>
    <w:rsid w:val="00E36791"/>
    <w:rsid w:val="00E53777"/>
    <w:rsid w:val="00E53EDE"/>
    <w:rsid w:val="00E6004D"/>
    <w:rsid w:val="00E81978"/>
    <w:rsid w:val="00E94E70"/>
    <w:rsid w:val="00EE5314"/>
    <w:rsid w:val="00EF46FF"/>
    <w:rsid w:val="00F379B7"/>
    <w:rsid w:val="00F47F28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2019-05-20T06:04:00Z</dcterms:modified>
</cp:coreProperties>
</file>