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440"/>
        <w:tblW w:w="0" w:type="auto"/>
        <w:tblLook w:val="04A0" w:firstRow="1" w:lastRow="0" w:firstColumn="1" w:lastColumn="0" w:noHBand="0" w:noVBand="1"/>
      </w:tblPr>
      <w:tblGrid>
        <w:gridCol w:w="1878"/>
        <w:gridCol w:w="1943"/>
        <w:gridCol w:w="1962"/>
        <w:gridCol w:w="1959"/>
        <w:gridCol w:w="1608"/>
      </w:tblGrid>
      <w:tr w:rsidR="00DC1E1F" w:rsidRPr="000A2C2C" w:rsidTr="000A2C2C">
        <w:tc>
          <w:tcPr>
            <w:tcW w:w="1878" w:type="dxa"/>
          </w:tcPr>
          <w:p w:rsidR="00DC1E1F" w:rsidRPr="000A2C2C" w:rsidRDefault="00DC1E1F" w:rsidP="000A2C2C">
            <w:pPr>
              <w:rPr>
                <w:rFonts w:ascii="Garamond" w:hAnsi="Garamond"/>
                <w:sz w:val="24"/>
                <w:szCs w:val="24"/>
              </w:rPr>
            </w:pPr>
            <w:r w:rsidRPr="000A2C2C">
              <w:rPr>
                <w:rFonts w:ascii="Garamond" w:hAnsi="Garamond"/>
                <w:sz w:val="24"/>
                <w:szCs w:val="24"/>
              </w:rPr>
              <w:t xml:space="preserve">ACTION </w:t>
            </w:r>
          </w:p>
        </w:tc>
        <w:tc>
          <w:tcPr>
            <w:tcW w:w="1943" w:type="dxa"/>
          </w:tcPr>
          <w:p w:rsidR="00DC1E1F" w:rsidRPr="000A2C2C" w:rsidRDefault="00DC1E1F" w:rsidP="000A2C2C">
            <w:pPr>
              <w:rPr>
                <w:rFonts w:ascii="Garamond" w:hAnsi="Garamond"/>
                <w:sz w:val="24"/>
                <w:szCs w:val="24"/>
              </w:rPr>
            </w:pPr>
            <w:r w:rsidRPr="000A2C2C">
              <w:rPr>
                <w:rFonts w:ascii="Garamond" w:hAnsi="Garamond"/>
                <w:sz w:val="24"/>
                <w:szCs w:val="24"/>
              </w:rPr>
              <w:t>TIMEFRAME</w:t>
            </w:r>
          </w:p>
        </w:tc>
        <w:tc>
          <w:tcPr>
            <w:tcW w:w="1962" w:type="dxa"/>
          </w:tcPr>
          <w:p w:rsidR="00DC1E1F" w:rsidRPr="000A2C2C" w:rsidRDefault="00DC1E1F" w:rsidP="000A2C2C">
            <w:pPr>
              <w:rPr>
                <w:rFonts w:ascii="Garamond" w:hAnsi="Garamond"/>
                <w:sz w:val="24"/>
                <w:szCs w:val="24"/>
              </w:rPr>
            </w:pPr>
            <w:r w:rsidRPr="000A2C2C">
              <w:rPr>
                <w:rFonts w:ascii="Garamond" w:hAnsi="Garamond"/>
                <w:sz w:val="24"/>
                <w:szCs w:val="24"/>
              </w:rPr>
              <w:t>PERSON’S RESPONSIBLE</w:t>
            </w:r>
          </w:p>
        </w:tc>
        <w:tc>
          <w:tcPr>
            <w:tcW w:w="1959" w:type="dxa"/>
          </w:tcPr>
          <w:p w:rsidR="00DC1E1F" w:rsidRPr="000A2C2C" w:rsidRDefault="00DC1E1F" w:rsidP="000A2C2C">
            <w:pPr>
              <w:rPr>
                <w:rFonts w:ascii="Garamond" w:hAnsi="Garamond"/>
                <w:sz w:val="24"/>
                <w:szCs w:val="24"/>
              </w:rPr>
            </w:pPr>
            <w:r w:rsidRPr="000A2C2C">
              <w:rPr>
                <w:rFonts w:ascii="Garamond" w:hAnsi="Garamond"/>
                <w:sz w:val="24"/>
                <w:szCs w:val="24"/>
              </w:rPr>
              <w:t>DESCRIPTION</w:t>
            </w:r>
          </w:p>
        </w:tc>
        <w:tc>
          <w:tcPr>
            <w:tcW w:w="1608" w:type="dxa"/>
          </w:tcPr>
          <w:p w:rsidR="00DC1E1F" w:rsidRPr="000A2C2C" w:rsidRDefault="00DC1E1F" w:rsidP="000A2C2C">
            <w:pPr>
              <w:rPr>
                <w:rFonts w:ascii="Garamond" w:hAnsi="Garamond"/>
                <w:sz w:val="24"/>
                <w:szCs w:val="24"/>
              </w:rPr>
            </w:pPr>
            <w:r w:rsidRPr="000A2C2C">
              <w:rPr>
                <w:rFonts w:ascii="Garamond" w:hAnsi="Garamond"/>
                <w:sz w:val="24"/>
                <w:szCs w:val="24"/>
              </w:rPr>
              <w:t>RESOURCES</w:t>
            </w:r>
          </w:p>
        </w:tc>
      </w:tr>
      <w:tr w:rsidR="00F96333" w:rsidRPr="000A2C2C" w:rsidTr="000A2C2C">
        <w:tc>
          <w:tcPr>
            <w:tcW w:w="1878" w:type="dxa"/>
          </w:tcPr>
          <w:p w:rsidR="00F96333" w:rsidRPr="000A2C2C" w:rsidRDefault="00F96333" w:rsidP="000A2C2C">
            <w:pPr>
              <w:rPr>
                <w:rFonts w:ascii="Garamond" w:hAnsi="Garamond"/>
                <w:sz w:val="24"/>
                <w:szCs w:val="24"/>
              </w:rPr>
            </w:pPr>
            <w:r>
              <w:rPr>
                <w:rFonts w:ascii="Garamond" w:hAnsi="Garamond"/>
                <w:sz w:val="24"/>
                <w:szCs w:val="24"/>
              </w:rPr>
              <w:t>HR meeting with Director</w:t>
            </w:r>
          </w:p>
        </w:tc>
        <w:tc>
          <w:tcPr>
            <w:tcW w:w="1943" w:type="dxa"/>
          </w:tcPr>
          <w:p w:rsidR="00F96333" w:rsidRDefault="00F96333" w:rsidP="000A2C2C">
            <w:pPr>
              <w:rPr>
                <w:rFonts w:ascii="Garamond" w:hAnsi="Garamond"/>
                <w:sz w:val="24"/>
                <w:szCs w:val="24"/>
              </w:rPr>
            </w:pPr>
            <w:r>
              <w:rPr>
                <w:rFonts w:ascii="Garamond" w:hAnsi="Garamond"/>
                <w:sz w:val="24"/>
                <w:szCs w:val="24"/>
              </w:rPr>
              <w:t>2 hrs.</w:t>
            </w:r>
          </w:p>
        </w:tc>
        <w:tc>
          <w:tcPr>
            <w:tcW w:w="1962" w:type="dxa"/>
          </w:tcPr>
          <w:p w:rsidR="00F96333" w:rsidRPr="000A2C2C" w:rsidRDefault="00F96333" w:rsidP="000A2C2C">
            <w:pPr>
              <w:rPr>
                <w:rFonts w:ascii="Garamond" w:hAnsi="Garamond"/>
                <w:sz w:val="24"/>
                <w:szCs w:val="24"/>
              </w:rPr>
            </w:pPr>
            <w:r>
              <w:rPr>
                <w:rFonts w:ascii="Garamond" w:hAnsi="Garamond"/>
                <w:sz w:val="24"/>
                <w:szCs w:val="24"/>
              </w:rPr>
              <w:t>HR business partner</w:t>
            </w:r>
          </w:p>
        </w:tc>
        <w:tc>
          <w:tcPr>
            <w:tcW w:w="1959" w:type="dxa"/>
          </w:tcPr>
          <w:p w:rsidR="00F96333" w:rsidRDefault="00F96333" w:rsidP="000A2C2C">
            <w:pPr>
              <w:rPr>
                <w:rFonts w:ascii="Garamond" w:hAnsi="Garamond"/>
                <w:sz w:val="24"/>
                <w:szCs w:val="24"/>
              </w:rPr>
            </w:pPr>
            <w:r w:rsidRPr="00F96333">
              <w:rPr>
                <w:rFonts w:ascii="Garamond" w:hAnsi="Garamond"/>
                <w:sz w:val="24"/>
                <w:szCs w:val="24"/>
              </w:rPr>
              <w:t>A company director or an employee of an HR department can take on the role of an intermediary, that is, a person who helps the parties to express their claims without emotional intensity, find common ground and take possible steps towards each other. Sometimes you have to admit that the dispute has gone so far that it is necessary to raise the question squarely and part with the “instigator” of the conflict.</w:t>
            </w:r>
          </w:p>
        </w:tc>
        <w:tc>
          <w:tcPr>
            <w:tcW w:w="1608" w:type="dxa"/>
          </w:tcPr>
          <w:p w:rsidR="00F96333" w:rsidRPr="000A2C2C" w:rsidRDefault="00F96333" w:rsidP="000A2C2C">
            <w:pPr>
              <w:rPr>
                <w:rFonts w:ascii="Garamond" w:hAnsi="Garamond"/>
                <w:sz w:val="24"/>
                <w:szCs w:val="24"/>
              </w:rPr>
            </w:pPr>
            <w:r>
              <w:rPr>
                <w:rFonts w:ascii="Garamond" w:hAnsi="Garamond"/>
                <w:sz w:val="24"/>
                <w:szCs w:val="24"/>
              </w:rPr>
              <w:t>Through proper channel</w:t>
            </w:r>
          </w:p>
        </w:tc>
      </w:tr>
      <w:tr w:rsidR="00DC1E1F" w:rsidRPr="000A2C2C" w:rsidTr="000A2C2C">
        <w:tc>
          <w:tcPr>
            <w:tcW w:w="1878" w:type="dxa"/>
          </w:tcPr>
          <w:p w:rsidR="00DC1E1F" w:rsidRPr="000A2C2C" w:rsidRDefault="00DC1E1F" w:rsidP="000A2C2C">
            <w:pPr>
              <w:rPr>
                <w:rFonts w:ascii="Garamond" w:hAnsi="Garamond"/>
                <w:sz w:val="24"/>
                <w:szCs w:val="24"/>
              </w:rPr>
            </w:pPr>
            <w:r w:rsidRPr="000A2C2C">
              <w:rPr>
                <w:rFonts w:ascii="Garamond" w:hAnsi="Garamond"/>
                <w:sz w:val="24"/>
                <w:szCs w:val="24"/>
              </w:rPr>
              <w:t>HR meeting with manager (rental)</w:t>
            </w:r>
          </w:p>
        </w:tc>
        <w:tc>
          <w:tcPr>
            <w:tcW w:w="1943" w:type="dxa"/>
          </w:tcPr>
          <w:p w:rsidR="00DC1E1F" w:rsidRPr="000A2C2C" w:rsidRDefault="00F96333" w:rsidP="000A2C2C">
            <w:pPr>
              <w:rPr>
                <w:rFonts w:ascii="Garamond" w:hAnsi="Garamond"/>
                <w:sz w:val="24"/>
                <w:szCs w:val="24"/>
              </w:rPr>
            </w:pPr>
            <w:r>
              <w:rPr>
                <w:rFonts w:ascii="Garamond" w:hAnsi="Garamond"/>
                <w:sz w:val="24"/>
                <w:szCs w:val="24"/>
              </w:rPr>
              <w:t>2 hours</w:t>
            </w:r>
          </w:p>
        </w:tc>
        <w:tc>
          <w:tcPr>
            <w:tcW w:w="1962" w:type="dxa"/>
          </w:tcPr>
          <w:p w:rsidR="00DC1E1F" w:rsidRPr="000A2C2C" w:rsidRDefault="00DC1E1F" w:rsidP="000A2C2C">
            <w:pPr>
              <w:rPr>
                <w:rFonts w:ascii="Garamond" w:hAnsi="Garamond"/>
                <w:sz w:val="24"/>
                <w:szCs w:val="24"/>
              </w:rPr>
            </w:pPr>
            <w:r w:rsidRPr="000A2C2C">
              <w:rPr>
                <w:rFonts w:ascii="Garamond" w:hAnsi="Garamond"/>
                <w:sz w:val="24"/>
                <w:szCs w:val="24"/>
              </w:rPr>
              <w:t>HR business partner</w:t>
            </w:r>
          </w:p>
        </w:tc>
        <w:tc>
          <w:tcPr>
            <w:tcW w:w="1959" w:type="dxa"/>
          </w:tcPr>
          <w:p w:rsidR="00DC1E1F" w:rsidRPr="000A2C2C" w:rsidRDefault="00F96333" w:rsidP="000A2C2C">
            <w:pPr>
              <w:rPr>
                <w:rFonts w:ascii="Garamond" w:hAnsi="Garamond"/>
                <w:sz w:val="24"/>
                <w:szCs w:val="24"/>
              </w:rPr>
            </w:pPr>
            <w:r>
              <w:rPr>
                <w:rFonts w:ascii="Garamond" w:hAnsi="Garamond"/>
                <w:sz w:val="24"/>
                <w:szCs w:val="24"/>
              </w:rPr>
              <w:t xml:space="preserve">Tell about the issues going through the company and employees and how to solve them. </w:t>
            </w:r>
          </w:p>
        </w:tc>
        <w:tc>
          <w:tcPr>
            <w:tcW w:w="1608" w:type="dxa"/>
          </w:tcPr>
          <w:p w:rsidR="00DC1E1F" w:rsidRPr="000A2C2C" w:rsidRDefault="00DC1E1F" w:rsidP="000A2C2C">
            <w:pPr>
              <w:rPr>
                <w:rFonts w:ascii="Garamond" w:hAnsi="Garamond"/>
                <w:sz w:val="24"/>
                <w:szCs w:val="24"/>
              </w:rPr>
            </w:pPr>
          </w:p>
        </w:tc>
      </w:tr>
      <w:tr w:rsidR="00DC1E1F" w:rsidRPr="000A2C2C" w:rsidTr="000A2C2C">
        <w:tc>
          <w:tcPr>
            <w:tcW w:w="1878" w:type="dxa"/>
          </w:tcPr>
          <w:p w:rsidR="00DC1E1F" w:rsidRPr="000A2C2C" w:rsidRDefault="00DC1E1F" w:rsidP="000A2C2C">
            <w:pPr>
              <w:rPr>
                <w:rFonts w:ascii="Garamond" w:hAnsi="Garamond"/>
                <w:sz w:val="24"/>
                <w:szCs w:val="24"/>
              </w:rPr>
            </w:pPr>
            <w:r w:rsidRPr="000A2C2C">
              <w:rPr>
                <w:rFonts w:ascii="Garamond" w:hAnsi="Garamond"/>
                <w:sz w:val="24"/>
                <w:szCs w:val="24"/>
              </w:rPr>
              <w:t xml:space="preserve">HR meeting with </w:t>
            </w:r>
            <w:r w:rsidR="00F96333">
              <w:t xml:space="preserve"> </w:t>
            </w:r>
            <w:r w:rsidR="00F96333" w:rsidRPr="00F96333">
              <w:rPr>
                <w:rFonts w:ascii="Garamond" w:hAnsi="Garamond"/>
                <w:sz w:val="24"/>
                <w:szCs w:val="24"/>
              </w:rPr>
              <w:t>expert assistance</w:t>
            </w:r>
          </w:p>
        </w:tc>
        <w:tc>
          <w:tcPr>
            <w:tcW w:w="1943" w:type="dxa"/>
          </w:tcPr>
          <w:p w:rsidR="00DC1E1F" w:rsidRPr="000A2C2C" w:rsidRDefault="00F96333" w:rsidP="000A2C2C">
            <w:pPr>
              <w:rPr>
                <w:rFonts w:ascii="Garamond" w:hAnsi="Garamond"/>
                <w:sz w:val="24"/>
                <w:szCs w:val="24"/>
              </w:rPr>
            </w:pPr>
            <w:r>
              <w:rPr>
                <w:rFonts w:ascii="Garamond" w:hAnsi="Garamond"/>
                <w:sz w:val="24"/>
                <w:szCs w:val="24"/>
              </w:rPr>
              <w:t>1 hour</w:t>
            </w:r>
          </w:p>
        </w:tc>
        <w:tc>
          <w:tcPr>
            <w:tcW w:w="1962" w:type="dxa"/>
          </w:tcPr>
          <w:p w:rsidR="00DC1E1F" w:rsidRPr="000A2C2C" w:rsidRDefault="00C7196A" w:rsidP="000A2C2C">
            <w:pPr>
              <w:rPr>
                <w:rFonts w:ascii="Garamond" w:hAnsi="Garamond"/>
                <w:sz w:val="24"/>
                <w:szCs w:val="24"/>
              </w:rPr>
            </w:pPr>
            <w:r w:rsidRPr="000A2C2C">
              <w:rPr>
                <w:rFonts w:ascii="Garamond" w:hAnsi="Garamond"/>
                <w:sz w:val="24"/>
                <w:szCs w:val="24"/>
              </w:rPr>
              <w:t>HR business partner</w:t>
            </w:r>
          </w:p>
        </w:tc>
        <w:tc>
          <w:tcPr>
            <w:tcW w:w="1959" w:type="dxa"/>
          </w:tcPr>
          <w:p w:rsidR="00DC1E1F" w:rsidRPr="000A2C2C" w:rsidRDefault="00F96333" w:rsidP="000A2C2C">
            <w:pPr>
              <w:rPr>
                <w:rFonts w:ascii="Garamond" w:hAnsi="Garamond"/>
                <w:sz w:val="24"/>
                <w:szCs w:val="24"/>
              </w:rPr>
            </w:pPr>
            <w:r w:rsidRPr="00F96333">
              <w:rPr>
                <w:rFonts w:ascii="Garamond" w:hAnsi="Garamond"/>
                <w:sz w:val="24"/>
                <w:szCs w:val="24"/>
              </w:rPr>
              <w:t xml:space="preserve">despite the discussion, clarity regarding the priority did not come, or during the moderation session the participants intellectually “rested” and could not find </w:t>
            </w:r>
            <w:r w:rsidRPr="00F96333">
              <w:rPr>
                <w:rFonts w:ascii="Garamond" w:hAnsi="Garamond"/>
                <w:sz w:val="24"/>
                <w:szCs w:val="24"/>
              </w:rPr>
              <w:lastRenderedPageBreak/>
              <w:t>possible solutions to the problems facing the project, in these cases “expert assistance</w:t>
            </w:r>
            <w:proofErr w:type="gramStart"/>
            <w:r w:rsidRPr="00F96333">
              <w:rPr>
                <w:rFonts w:ascii="Garamond" w:hAnsi="Garamond"/>
                <w:sz w:val="24"/>
                <w:szCs w:val="24"/>
              </w:rPr>
              <w:t>” .</w:t>
            </w:r>
            <w:proofErr w:type="gramEnd"/>
            <w:r w:rsidRPr="00F96333">
              <w:rPr>
                <w:rFonts w:ascii="Garamond" w:hAnsi="Garamond"/>
                <w:sz w:val="24"/>
                <w:szCs w:val="24"/>
              </w:rPr>
              <w:t xml:space="preserve"> In this situation, the manager, who is an expert in the field of the planned project, may suggest certain nuances or help to correct plans. But, this tool is not advisable to apply in case all previous methods were not used. For example, employees held one meeting and, faced with difficulties, immediately turned to management.</w:t>
            </w:r>
          </w:p>
        </w:tc>
        <w:tc>
          <w:tcPr>
            <w:tcW w:w="1608" w:type="dxa"/>
          </w:tcPr>
          <w:p w:rsidR="00DC1E1F" w:rsidRPr="000A2C2C" w:rsidRDefault="00F96333" w:rsidP="000A2C2C">
            <w:pPr>
              <w:rPr>
                <w:rFonts w:ascii="Garamond" w:hAnsi="Garamond"/>
                <w:sz w:val="24"/>
                <w:szCs w:val="24"/>
              </w:rPr>
            </w:pPr>
            <w:r>
              <w:rPr>
                <w:rFonts w:ascii="Garamond" w:hAnsi="Garamond"/>
                <w:sz w:val="24"/>
                <w:szCs w:val="24"/>
              </w:rPr>
              <w:lastRenderedPageBreak/>
              <w:t>Through experts</w:t>
            </w:r>
          </w:p>
        </w:tc>
      </w:tr>
      <w:tr w:rsidR="00DC1E1F" w:rsidRPr="000A2C2C" w:rsidTr="000A2C2C">
        <w:tc>
          <w:tcPr>
            <w:tcW w:w="1878" w:type="dxa"/>
          </w:tcPr>
          <w:p w:rsidR="00DC1E1F" w:rsidRPr="000A2C2C" w:rsidRDefault="003A3BC5" w:rsidP="000A2C2C">
            <w:pPr>
              <w:rPr>
                <w:rFonts w:ascii="Garamond" w:hAnsi="Garamond"/>
                <w:sz w:val="24"/>
                <w:szCs w:val="24"/>
              </w:rPr>
            </w:pPr>
            <w:r>
              <w:rPr>
                <w:rFonts w:ascii="Garamond" w:hAnsi="Garamond"/>
                <w:sz w:val="24"/>
                <w:szCs w:val="24"/>
              </w:rPr>
              <w:lastRenderedPageBreak/>
              <w:t>Handling on social networking</w:t>
            </w:r>
          </w:p>
        </w:tc>
        <w:tc>
          <w:tcPr>
            <w:tcW w:w="1943" w:type="dxa"/>
          </w:tcPr>
          <w:p w:rsidR="00DC1E1F" w:rsidRPr="000A2C2C" w:rsidRDefault="003A3BC5" w:rsidP="000A2C2C">
            <w:pPr>
              <w:rPr>
                <w:rFonts w:ascii="Garamond" w:hAnsi="Garamond"/>
                <w:sz w:val="24"/>
                <w:szCs w:val="24"/>
              </w:rPr>
            </w:pPr>
            <w:r>
              <w:rPr>
                <w:rFonts w:ascii="Garamond" w:hAnsi="Garamond"/>
                <w:sz w:val="24"/>
                <w:szCs w:val="24"/>
              </w:rPr>
              <w:t>Once in a week</w:t>
            </w:r>
          </w:p>
        </w:tc>
        <w:tc>
          <w:tcPr>
            <w:tcW w:w="1962" w:type="dxa"/>
          </w:tcPr>
          <w:p w:rsidR="00DC1E1F" w:rsidRPr="000A2C2C" w:rsidRDefault="00C7196A" w:rsidP="000A2C2C">
            <w:pPr>
              <w:rPr>
                <w:rFonts w:ascii="Garamond" w:hAnsi="Garamond"/>
                <w:sz w:val="24"/>
                <w:szCs w:val="24"/>
              </w:rPr>
            </w:pPr>
            <w:r w:rsidRPr="000A2C2C">
              <w:rPr>
                <w:rFonts w:ascii="Garamond" w:hAnsi="Garamond"/>
                <w:sz w:val="24"/>
                <w:szCs w:val="24"/>
              </w:rPr>
              <w:t>HR business partner</w:t>
            </w:r>
          </w:p>
        </w:tc>
        <w:tc>
          <w:tcPr>
            <w:tcW w:w="1959" w:type="dxa"/>
          </w:tcPr>
          <w:p w:rsidR="003A3BC5" w:rsidRPr="003A3BC5" w:rsidRDefault="003A3BC5" w:rsidP="003A3BC5">
            <w:pPr>
              <w:rPr>
                <w:rFonts w:ascii="Garamond" w:hAnsi="Garamond"/>
                <w:sz w:val="24"/>
                <w:szCs w:val="24"/>
              </w:rPr>
            </w:pPr>
            <w:r w:rsidRPr="003A3BC5">
              <w:rPr>
                <w:rFonts w:ascii="Garamond" w:hAnsi="Garamond"/>
                <w:sz w:val="24"/>
                <w:szCs w:val="24"/>
              </w:rPr>
              <w:t>The social network helps to train and inform employees about innovations in the company, it allows for online conferences and seminars, i.e. solves the problem of conducting trainings and training events for a new employee. In it, you can monitor the activity of any of the employees, including tracking the individual dialogue between the manager and the newcomer, by setting up the RSS feed function. The corporate social network gives you the opportunity to exchange messages with any of your colleagues, get acquainted with them, share information and ask questions - both about work and for personal needs, which creates a single information space and strengthens the corporate culture of the company.</w:t>
            </w:r>
          </w:p>
          <w:p w:rsidR="00DC1E1F" w:rsidRPr="000A2C2C" w:rsidRDefault="00DC1E1F" w:rsidP="003A3BC5">
            <w:pPr>
              <w:rPr>
                <w:rFonts w:ascii="Garamond" w:hAnsi="Garamond"/>
                <w:sz w:val="24"/>
                <w:szCs w:val="24"/>
              </w:rPr>
            </w:pPr>
          </w:p>
        </w:tc>
        <w:tc>
          <w:tcPr>
            <w:tcW w:w="1608" w:type="dxa"/>
          </w:tcPr>
          <w:p w:rsidR="00DC1E1F" w:rsidRPr="000A2C2C" w:rsidRDefault="00DC1E1F" w:rsidP="000A2C2C">
            <w:pPr>
              <w:rPr>
                <w:rFonts w:ascii="Garamond" w:hAnsi="Garamond"/>
                <w:sz w:val="24"/>
                <w:szCs w:val="24"/>
              </w:rPr>
            </w:pPr>
          </w:p>
        </w:tc>
      </w:tr>
    </w:tbl>
    <w:p w:rsidR="00792CB5" w:rsidRPr="000A2C2C" w:rsidRDefault="003A3BC5">
      <w:pPr>
        <w:rPr>
          <w:rFonts w:ascii="Garamond" w:hAnsi="Garamond"/>
          <w:sz w:val="24"/>
          <w:szCs w:val="24"/>
        </w:rPr>
      </w:pPr>
      <w:bookmarkStart w:id="0" w:name="_GoBack"/>
      <w:bookmarkEnd w:id="0"/>
    </w:p>
    <w:sectPr w:rsidR="00792CB5" w:rsidRPr="000A2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1F"/>
    <w:rsid w:val="000A2C2C"/>
    <w:rsid w:val="003A3BC5"/>
    <w:rsid w:val="005D70B8"/>
    <w:rsid w:val="00807312"/>
    <w:rsid w:val="008547A0"/>
    <w:rsid w:val="00AF20B1"/>
    <w:rsid w:val="00BB41B2"/>
    <w:rsid w:val="00C16B82"/>
    <w:rsid w:val="00C7196A"/>
    <w:rsid w:val="00CF4121"/>
    <w:rsid w:val="00D3043C"/>
    <w:rsid w:val="00D734E3"/>
    <w:rsid w:val="00DC1E1F"/>
    <w:rsid w:val="00F07ED3"/>
    <w:rsid w:val="00F96333"/>
    <w:rsid w:val="00FF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7E19"/>
  <w15:chartTrackingRefBased/>
  <w15:docId w15:val="{9A4657FA-CD90-4458-B4DD-1014ABFB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2019-02-01T07:45:00Z</dcterms:created>
  <dcterms:modified xsi:type="dcterms:W3CDTF">2019-02-01T07:45:00Z</dcterms:modified>
</cp:coreProperties>
</file>