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EE16D" w14:textId="77777777" w:rsidR="00EB14E5" w:rsidRDefault="00EB14E5" w:rsidP="00EB14E5">
      <w:pPr>
        <w:spacing w:line="480" w:lineRule="auto"/>
        <w:jc w:val="center"/>
      </w:pPr>
    </w:p>
    <w:p w14:paraId="7ECB0203" w14:textId="77777777" w:rsidR="00EB14E5" w:rsidRDefault="00EB14E5" w:rsidP="00EB14E5">
      <w:pPr>
        <w:spacing w:line="480" w:lineRule="auto"/>
        <w:jc w:val="center"/>
      </w:pPr>
    </w:p>
    <w:p w14:paraId="4D193130" w14:textId="77777777" w:rsidR="00EB14E5" w:rsidRDefault="00EB14E5" w:rsidP="00EB14E5">
      <w:pPr>
        <w:spacing w:line="480" w:lineRule="auto"/>
        <w:jc w:val="center"/>
      </w:pPr>
    </w:p>
    <w:p w14:paraId="5A80E144" w14:textId="77777777" w:rsidR="00EB14E5" w:rsidRDefault="00EB14E5" w:rsidP="00EB14E5">
      <w:pPr>
        <w:spacing w:line="480" w:lineRule="auto"/>
        <w:jc w:val="center"/>
      </w:pPr>
    </w:p>
    <w:p w14:paraId="1D4EDDF3" w14:textId="77777777" w:rsidR="00EB14E5" w:rsidRDefault="00EB14E5" w:rsidP="00EB14E5">
      <w:pPr>
        <w:spacing w:line="480" w:lineRule="auto"/>
        <w:jc w:val="center"/>
      </w:pPr>
    </w:p>
    <w:p w14:paraId="75A56A7F" w14:textId="77777777" w:rsidR="004F3E88" w:rsidRDefault="00811337" w:rsidP="00EB14E5">
      <w:pPr>
        <w:spacing w:line="480" w:lineRule="auto"/>
        <w:jc w:val="center"/>
      </w:pPr>
      <w:r>
        <w:t>Title page</w:t>
      </w:r>
    </w:p>
    <w:p w14:paraId="65F38551" w14:textId="77777777" w:rsidR="00596209" w:rsidRDefault="00811337" w:rsidP="00EB14E5">
      <w:pPr>
        <w:spacing w:line="480" w:lineRule="auto"/>
        <w:jc w:val="center"/>
      </w:pPr>
      <w:r>
        <w:t>Principles of macroeconomics</w:t>
      </w:r>
    </w:p>
    <w:p w14:paraId="4A4E65F1" w14:textId="77777777" w:rsidR="00596209" w:rsidRDefault="00811337">
      <w:r>
        <w:br w:type="page"/>
      </w:r>
    </w:p>
    <w:p w14:paraId="54BEE9B7" w14:textId="7686C389" w:rsidR="00596209" w:rsidRDefault="00811337" w:rsidP="00254DC2">
      <w:pPr>
        <w:spacing w:line="480" w:lineRule="auto"/>
        <w:ind w:firstLine="720"/>
        <w:jc w:val="both"/>
        <w:rPr>
          <w:rFonts w:ascii="Times New Roman" w:hAnsi="Times New Roman" w:cs="Times New Roman"/>
        </w:rPr>
      </w:pPr>
      <w:r w:rsidRPr="00B34DA8">
        <w:rPr>
          <w:rFonts w:ascii="Times New Roman" w:hAnsi="Times New Roman" w:cs="Times New Roman"/>
        </w:rPr>
        <w:lastRenderedPageBreak/>
        <w:t xml:space="preserve">The fixed </w:t>
      </w:r>
      <w:r w:rsidR="00860923">
        <w:rPr>
          <w:rFonts w:ascii="Times New Roman" w:hAnsi="Times New Roman" w:cs="Times New Roman"/>
        </w:rPr>
        <w:t xml:space="preserve">production technology indicates that the level remains unchanged irrespective to the changes in sales or production. </w:t>
      </w:r>
      <w:r w:rsidR="00BA06DF">
        <w:rPr>
          <w:rFonts w:ascii="Times New Roman" w:hAnsi="Times New Roman" w:cs="Times New Roman"/>
        </w:rPr>
        <w:t>The association between output a</w:t>
      </w:r>
      <w:r w:rsidR="00254DC2">
        <w:rPr>
          <w:rFonts w:ascii="Times New Roman" w:hAnsi="Times New Roman" w:cs="Times New Roman"/>
        </w:rPr>
        <w:t xml:space="preserve">nd generation of externality is used for defining this rate. </w:t>
      </w:r>
      <w:r w:rsidR="00E14E2A">
        <w:rPr>
          <w:rFonts w:ascii="Times New Roman" w:hAnsi="Times New Roman" w:cs="Times New Roman"/>
        </w:rPr>
        <w:t>Changing the production process minimizes the externality</w:t>
      </w:r>
      <w:r w:rsidR="00254DC2">
        <w:rPr>
          <w:rFonts w:ascii="Times New Roman" w:hAnsi="Times New Roman" w:cs="Times New Roman"/>
        </w:rPr>
        <w:t xml:space="preserve">. Output-variable production is reduced in this </w:t>
      </w:r>
      <w:r w:rsidR="00E14E2A">
        <w:rPr>
          <w:rFonts w:ascii="Times New Roman" w:hAnsi="Times New Roman" w:cs="Times New Roman"/>
        </w:rPr>
        <w:t>process, which</w:t>
      </w:r>
      <w:r w:rsidR="00254DC2">
        <w:rPr>
          <w:rFonts w:ascii="Times New Roman" w:hAnsi="Times New Roman" w:cs="Times New Roman"/>
        </w:rPr>
        <w:t xml:space="preserve"> indicates that a firm cannot produce beyond a certain level.  </w:t>
      </w:r>
      <w:r w:rsidRPr="00B34DA8">
        <w:rPr>
          <w:rFonts w:ascii="Times New Roman" w:hAnsi="Times New Roman" w:cs="Times New Roman"/>
        </w:rPr>
        <w:t>Variable prod</w:t>
      </w:r>
      <w:r w:rsidRPr="00B34DA8">
        <w:rPr>
          <w:rFonts w:ascii="Times New Roman" w:hAnsi="Times New Roman" w:cs="Times New Roman"/>
        </w:rPr>
        <w:t xml:space="preserve">uction technology </w:t>
      </w:r>
      <w:r w:rsidR="00254DC2">
        <w:rPr>
          <w:rFonts w:ascii="Times New Roman" w:hAnsi="Times New Roman" w:cs="Times New Roman"/>
        </w:rPr>
        <w:t>does not restrict the level of production and firms ar</w:t>
      </w:r>
      <w:r w:rsidR="00427FC4">
        <w:rPr>
          <w:rFonts w:ascii="Times New Roman" w:hAnsi="Times New Roman" w:cs="Times New Roman"/>
        </w:rPr>
        <w:t xml:space="preserve">e free to integrate technology </w:t>
      </w:r>
      <w:sdt>
        <w:sdtPr>
          <w:rPr>
            <w:rFonts w:ascii="Times New Roman" w:hAnsi="Times New Roman" w:cs="Times New Roman"/>
          </w:rPr>
          <w:id w:val="-1845151458"/>
          <w:citation/>
        </w:sdtPr>
        <w:sdtEndPr/>
        <w:sdtContent>
          <w:r w:rsidR="00427FC4">
            <w:rPr>
              <w:rFonts w:ascii="Times New Roman" w:hAnsi="Times New Roman" w:cs="Times New Roman"/>
            </w:rPr>
            <w:fldChar w:fldCharType="begin"/>
          </w:r>
          <w:r w:rsidR="00427FC4">
            <w:rPr>
              <w:rFonts w:ascii="Times New Roman" w:hAnsi="Times New Roman" w:cs="Times New Roman"/>
            </w:rPr>
            <w:instrText xml:space="preserve"> CITATION Wil09 \l 1033 </w:instrText>
          </w:r>
          <w:r w:rsidR="00427FC4">
            <w:rPr>
              <w:rFonts w:ascii="Times New Roman" w:hAnsi="Times New Roman" w:cs="Times New Roman"/>
            </w:rPr>
            <w:fldChar w:fldCharType="separate"/>
          </w:r>
          <w:r w:rsidR="00427FC4" w:rsidRPr="00427FC4">
            <w:rPr>
              <w:rFonts w:ascii="Times New Roman" w:hAnsi="Times New Roman" w:cs="Times New Roman"/>
              <w:noProof/>
            </w:rPr>
            <w:t>(McEachern, 2009)</w:t>
          </w:r>
          <w:r w:rsidR="00427FC4">
            <w:rPr>
              <w:rFonts w:ascii="Times New Roman" w:hAnsi="Times New Roman" w:cs="Times New Roman"/>
            </w:rPr>
            <w:fldChar w:fldCharType="end"/>
          </w:r>
        </w:sdtContent>
      </w:sdt>
      <w:r w:rsidR="00427FC4">
        <w:rPr>
          <w:rFonts w:ascii="Times New Roman" w:hAnsi="Times New Roman" w:cs="Times New Roman"/>
        </w:rPr>
        <w:t xml:space="preserve">. </w:t>
      </w:r>
    </w:p>
    <w:p w14:paraId="1FF06A35" w14:textId="7AB18704" w:rsidR="00E50AC7" w:rsidRDefault="00811337" w:rsidP="00B34DA8">
      <w:pPr>
        <w:spacing w:line="480" w:lineRule="auto"/>
        <w:ind w:firstLine="720"/>
        <w:jc w:val="both"/>
        <w:rPr>
          <w:rFonts w:ascii="Times New Roman" w:hAnsi="Times New Roman" w:cs="Times New Roman"/>
        </w:rPr>
      </w:pPr>
      <w:r>
        <w:rPr>
          <w:rFonts w:ascii="Times New Roman" w:hAnsi="Times New Roman" w:cs="Times New Roman"/>
        </w:rPr>
        <w:t>The government must set the goal of reducing the marginal social cost of pollution to zero in industries</w:t>
      </w:r>
      <w:r>
        <w:rPr>
          <w:rFonts w:ascii="Times New Roman" w:hAnsi="Times New Roman" w:cs="Times New Roman"/>
        </w:rPr>
        <w:t xml:space="preserve"> with fixed production technology. This is because pollution is </w:t>
      </w:r>
      <w:r w:rsidR="00832234">
        <w:rPr>
          <w:rFonts w:ascii="Times New Roman" w:hAnsi="Times New Roman" w:cs="Times New Roman"/>
        </w:rPr>
        <w:t>a negative externality that imposes</w:t>
      </w:r>
      <w:r>
        <w:rPr>
          <w:rFonts w:ascii="Times New Roman" w:hAnsi="Times New Roman" w:cs="Times New Roman"/>
        </w:rPr>
        <w:t xml:space="preserve"> adverse consequences for society. </w:t>
      </w:r>
      <w:r w:rsidR="00832234">
        <w:rPr>
          <w:rFonts w:ascii="Times New Roman" w:hAnsi="Times New Roman" w:cs="Times New Roman"/>
        </w:rPr>
        <w:t>These firms on third parties who are not part of the production process incur private costs</w:t>
      </w:r>
      <w:r>
        <w:rPr>
          <w:rFonts w:ascii="Times New Roman" w:hAnsi="Times New Roman" w:cs="Times New Roman"/>
        </w:rPr>
        <w:t>. The idea states that the comp</w:t>
      </w:r>
      <w:r>
        <w:rPr>
          <w:rFonts w:ascii="Times New Roman" w:hAnsi="Times New Roman" w:cs="Times New Roman"/>
        </w:rPr>
        <w:t>anies must bear the cost of pollution because they are involved in the production process and avail maximum benefit</w:t>
      </w:r>
      <w:r w:rsidR="00247CA4">
        <w:rPr>
          <w:rFonts w:ascii="Times New Roman" w:hAnsi="Times New Roman" w:cs="Times New Roman"/>
        </w:rPr>
        <w:t xml:space="preserve"> </w:t>
      </w:r>
      <w:sdt>
        <w:sdtPr>
          <w:rPr>
            <w:rFonts w:ascii="Times New Roman" w:hAnsi="Times New Roman" w:cs="Times New Roman"/>
          </w:rPr>
          <w:id w:val="1834106427"/>
          <w:citation/>
        </w:sdtPr>
        <w:sdtEndPr/>
        <w:sdtContent>
          <w:r w:rsidR="00247CA4">
            <w:rPr>
              <w:rFonts w:ascii="Times New Roman" w:hAnsi="Times New Roman" w:cs="Times New Roman"/>
            </w:rPr>
            <w:fldChar w:fldCharType="begin"/>
          </w:r>
          <w:r w:rsidR="00247CA4">
            <w:rPr>
              <w:rFonts w:ascii="Times New Roman" w:hAnsi="Times New Roman" w:cs="Times New Roman"/>
            </w:rPr>
            <w:instrText xml:space="preserve"> CITATION Ioa19 \l 1033 </w:instrText>
          </w:r>
          <w:r w:rsidR="00247CA4">
            <w:rPr>
              <w:rFonts w:ascii="Times New Roman" w:hAnsi="Times New Roman" w:cs="Times New Roman"/>
            </w:rPr>
            <w:fldChar w:fldCharType="separate"/>
          </w:r>
          <w:r w:rsidR="00247CA4" w:rsidRPr="00247CA4">
            <w:rPr>
              <w:rFonts w:ascii="Times New Roman" w:hAnsi="Times New Roman" w:cs="Times New Roman"/>
              <w:noProof/>
            </w:rPr>
            <w:t>(Batrancea, Batrancea, Nichita, Gaban, Masca, &amp; Morar, 2019)</w:t>
          </w:r>
          <w:r w:rsidR="00247CA4">
            <w:rPr>
              <w:rFonts w:ascii="Times New Roman" w:hAnsi="Times New Roman" w:cs="Times New Roman"/>
            </w:rPr>
            <w:fldChar w:fldCharType="end"/>
          </w:r>
        </w:sdtContent>
      </w:sdt>
      <w:r>
        <w:rPr>
          <w:rFonts w:ascii="Times New Roman" w:hAnsi="Times New Roman" w:cs="Times New Roman"/>
        </w:rPr>
        <w:t xml:space="preserve">. The society does not benefit from the production process so it is unfair to impose costs on them. </w:t>
      </w:r>
      <w:r w:rsidR="00D10D45">
        <w:rPr>
          <w:rFonts w:ascii="Times New Roman" w:hAnsi="Times New Roman" w:cs="Times New Roman"/>
        </w:rPr>
        <w:t xml:space="preserve">This reflects the incentive of the state to minimize the release of pollutants by the firms. Chemicals are a source of pollution that is dumped in the lands and water. This threatens the sewerage, quality of water and causes greenhouse gas generation. The involvement of organizations in these practices undermines the quality of air by generating pollution that is further linked to global warming. The society bears the cost in the form of health issues, lack of access to safe drinking water and </w:t>
      </w:r>
      <w:r w:rsidR="00BA06DF">
        <w:rPr>
          <w:rFonts w:ascii="Times New Roman" w:hAnsi="Times New Roman" w:cs="Times New Roman"/>
        </w:rPr>
        <w:t xml:space="preserve">pollution-free environment. Fixed production technology can be used as a goal for minimizing the possible threats of negative externalities. </w:t>
      </w:r>
      <w:r w:rsidR="00254DC2">
        <w:rPr>
          <w:rFonts w:ascii="Times New Roman" w:hAnsi="Times New Roman" w:cs="Times New Roman"/>
        </w:rPr>
        <w:t>The goals of the state are to take financial support from society for mitigating the negative externalities.</w:t>
      </w:r>
    </w:p>
    <w:p w14:paraId="3E5A6FA4" w14:textId="6740F61B" w:rsidR="00BA06DF" w:rsidRDefault="00811337" w:rsidP="00B34DA8">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Lorenz curve </w:t>
      </w:r>
      <w:r w:rsidR="00FE61C4">
        <w:rPr>
          <w:rFonts w:ascii="Times New Roman" w:hAnsi="Times New Roman" w:cs="Times New Roman"/>
        </w:rPr>
        <w:t xml:space="preserve">is a method used for representing the distribution of wealth or income in an economy. Max O Lorenz developed the curve in 1905 for understanding the distribution of wealth. This is a graphical representation of the amount of wealth acquired by different classes in a society. The graph is created based on the assumptions that there is perfect equality in society and everyone earns the same salary. Under these conditions, the poor population would acquire 20% of the total income. Total 5% </w:t>
      </w:r>
      <w:r w:rsidR="0098125F">
        <w:rPr>
          <w:rFonts w:ascii="Times New Roman" w:hAnsi="Times New Roman" w:cs="Times New Roman"/>
        </w:rPr>
        <w:t>of national income would be earned by the 20% poor. While 55% of the total income will be held by 90% of the poor population</w:t>
      </w:r>
      <w:r w:rsidR="00AB4DC5">
        <w:rPr>
          <w:rFonts w:ascii="Times New Roman" w:hAnsi="Times New Roman" w:cs="Times New Roman"/>
        </w:rPr>
        <w:t xml:space="preserve"> </w:t>
      </w:r>
      <w:sdt>
        <w:sdtPr>
          <w:rPr>
            <w:rFonts w:ascii="Times New Roman" w:hAnsi="Times New Roman" w:cs="Times New Roman"/>
          </w:rPr>
          <w:id w:val="131072533"/>
          <w:citation/>
        </w:sdtPr>
        <w:sdtEndPr/>
        <w:sdtContent>
          <w:r w:rsidR="00AB4DC5">
            <w:rPr>
              <w:rFonts w:ascii="Times New Roman" w:hAnsi="Times New Roman" w:cs="Times New Roman"/>
            </w:rPr>
            <w:fldChar w:fldCharType="begin"/>
          </w:r>
          <w:r w:rsidR="00AB4DC5">
            <w:rPr>
              <w:rFonts w:ascii="Times New Roman" w:hAnsi="Times New Roman" w:cs="Times New Roman"/>
            </w:rPr>
            <w:instrText xml:space="preserve"> CITATION Rob031 \l 1033 </w:instrText>
          </w:r>
          <w:r w:rsidR="00AB4DC5">
            <w:rPr>
              <w:rFonts w:ascii="Times New Roman" w:hAnsi="Times New Roman" w:cs="Times New Roman"/>
            </w:rPr>
            <w:fldChar w:fldCharType="separate"/>
          </w:r>
          <w:r w:rsidR="00AB4DC5" w:rsidRPr="00AB4DC5">
            <w:rPr>
              <w:rFonts w:ascii="Times New Roman" w:hAnsi="Times New Roman" w:cs="Times New Roman"/>
              <w:noProof/>
            </w:rPr>
            <w:t>(Rycroft, 2003)</w:t>
          </w:r>
          <w:r w:rsidR="00AB4DC5">
            <w:rPr>
              <w:rFonts w:ascii="Times New Roman" w:hAnsi="Times New Roman" w:cs="Times New Roman"/>
            </w:rPr>
            <w:fldChar w:fldCharType="end"/>
          </w:r>
        </w:sdtContent>
      </w:sdt>
      <w:r w:rsidR="0098125F">
        <w:rPr>
          <w:rFonts w:ascii="Times New Roman" w:hAnsi="Times New Roman" w:cs="Times New Roman"/>
        </w:rPr>
        <w:t xml:space="preserve">. This also indicates that 45% of the national wealth will be acquired by the 10% richest of the society. </w:t>
      </w:r>
      <w:r w:rsidR="006D141D">
        <w:rPr>
          <w:rFonts w:ascii="Times New Roman" w:hAnsi="Times New Roman" w:cs="Times New Roman"/>
        </w:rPr>
        <w:t>The wealth can be estimated by considering a given percentage of wealth and percentage of the household.</w:t>
      </w:r>
    </w:p>
    <w:p w14:paraId="76D97BBC" w14:textId="70602B7A" w:rsidR="00247CA4" w:rsidRDefault="00811337" w:rsidP="00B34DA8">
      <w:pPr>
        <w:spacing w:line="480" w:lineRule="auto"/>
        <w:ind w:firstLine="720"/>
        <w:jc w:val="both"/>
        <w:rPr>
          <w:rFonts w:ascii="Times New Roman" w:hAnsi="Times New Roman" w:cs="Times New Roman"/>
        </w:rPr>
      </w:pPr>
      <w:r>
        <w:rPr>
          <w:rFonts w:ascii="Times New Roman" w:hAnsi="Times New Roman" w:cs="Times New Roman"/>
        </w:rPr>
        <w:t>The purpose of the Lorenz curve is to portray the dis</w:t>
      </w:r>
      <w:r>
        <w:rPr>
          <w:rFonts w:ascii="Times New Roman" w:hAnsi="Times New Roman" w:cs="Times New Roman"/>
        </w:rPr>
        <w:t xml:space="preserve">tinction between the rich and poor population and identify methods that can be used for attaining equality. </w:t>
      </w:r>
      <w:r w:rsidR="006D141D">
        <w:rPr>
          <w:rFonts w:ascii="Times New Roman" w:hAnsi="Times New Roman" w:cs="Times New Roman"/>
        </w:rPr>
        <w:t xml:space="preserve">It highlights the representation of attaining equal distribution of wealth. Lorenz curve in Exhibit 2 shows the income distribution changes with the cumulative percentage of </w:t>
      </w:r>
      <w:r w:rsidR="00AD3A51">
        <w:rPr>
          <w:rFonts w:ascii="Times New Roman" w:hAnsi="Times New Roman" w:cs="Times New Roman"/>
        </w:rPr>
        <w:t>households</w:t>
      </w:r>
      <w:r w:rsidR="006D141D">
        <w:rPr>
          <w:rFonts w:ascii="Times New Roman" w:hAnsi="Times New Roman" w:cs="Times New Roman"/>
        </w:rPr>
        <w:t xml:space="preserve">. The figure depicts that 20% of household receive income below 20% while 60% of the household receives income slightly above 20%. </w:t>
      </w:r>
      <w:r w:rsidR="00AD3A51">
        <w:rPr>
          <w:rFonts w:ascii="Times New Roman" w:hAnsi="Times New Roman" w:cs="Times New Roman"/>
        </w:rPr>
        <w:t xml:space="preserve">The curve also states that 80% of households </w:t>
      </w:r>
      <w:r w:rsidR="00AB4DC5">
        <w:rPr>
          <w:rFonts w:ascii="Times New Roman" w:hAnsi="Times New Roman" w:cs="Times New Roman"/>
        </w:rPr>
        <w:t>receive</w:t>
      </w:r>
      <w:r w:rsidR="00AD3A51">
        <w:rPr>
          <w:rFonts w:ascii="Times New Roman" w:hAnsi="Times New Roman" w:cs="Times New Roman"/>
        </w:rPr>
        <w:t xml:space="preserve"> 50% of income</w:t>
      </w:r>
      <w:r w:rsidR="00BC3EA2">
        <w:rPr>
          <w:rFonts w:ascii="Times New Roman" w:hAnsi="Times New Roman" w:cs="Times New Roman"/>
        </w:rPr>
        <w:t xml:space="preserve"> </w:t>
      </w:r>
      <w:sdt>
        <w:sdtPr>
          <w:rPr>
            <w:rFonts w:ascii="Times New Roman" w:hAnsi="Times New Roman" w:cs="Times New Roman"/>
          </w:rPr>
          <w:id w:val="1002085020"/>
          <w:citation/>
        </w:sdtPr>
        <w:sdtEndPr/>
        <w:sdtContent>
          <w:r w:rsidR="00BC3EA2">
            <w:rPr>
              <w:rFonts w:ascii="Times New Roman" w:hAnsi="Times New Roman" w:cs="Times New Roman"/>
            </w:rPr>
            <w:fldChar w:fldCharType="begin"/>
          </w:r>
          <w:r w:rsidR="00BC3EA2">
            <w:rPr>
              <w:rFonts w:ascii="Times New Roman" w:hAnsi="Times New Roman" w:cs="Times New Roman"/>
            </w:rPr>
            <w:instrText xml:space="preserve"> CITATION Cha08 \l 1033 </w:instrText>
          </w:r>
          <w:r w:rsidR="00BC3EA2">
            <w:rPr>
              <w:rFonts w:ascii="Times New Roman" w:hAnsi="Times New Roman" w:cs="Times New Roman"/>
            </w:rPr>
            <w:fldChar w:fldCharType="separate"/>
          </w:r>
          <w:r w:rsidR="00BC3EA2" w:rsidRPr="00BC3EA2">
            <w:rPr>
              <w:rFonts w:ascii="Times New Roman" w:hAnsi="Times New Roman" w:cs="Times New Roman"/>
              <w:noProof/>
            </w:rPr>
            <w:t>(Moskowitz, Seshan, Riedel, &amp; Begg, 2008)</w:t>
          </w:r>
          <w:r w:rsidR="00BC3EA2">
            <w:rPr>
              <w:rFonts w:ascii="Times New Roman" w:hAnsi="Times New Roman" w:cs="Times New Roman"/>
            </w:rPr>
            <w:fldChar w:fldCharType="end"/>
          </w:r>
        </w:sdtContent>
      </w:sdt>
      <w:r w:rsidR="00AD3A51">
        <w:rPr>
          <w:rFonts w:ascii="Times New Roman" w:hAnsi="Times New Roman" w:cs="Times New Roman"/>
        </w:rPr>
        <w:t xml:space="preserve">. The points a-b on the graph indicates that in 2010 the income was distributed evenly among the households. </w:t>
      </w:r>
      <w:r w:rsidR="00AB4DC5">
        <w:rPr>
          <w:rFonts w:ascii="Times New Roman" w:hAnsi="Times New Roman" w:cs="Times New Roman"/>
        </w:rPr>
        <w:t>At this point, the Lorenzo curve is a straight line because it</w:t>
      </w:r>
      <w:r>
        <w:rPr>
          <w:rFonts w:ascii="Times New Roman" w:hAnsi="Times New Roman" w:cs="Times New Roman"/>
        </w:rPr>
        <w:t xml:space="preserve"> represents equal distribution. </w:t>
      </w:r>
      <w:r w:rsidR="007A467D">
        <w:rPr>
          <w:rFonts w:ascii="Times New Roman" w:hAnsi="Times New Roman" w:cs="Times New Roman"/>
        </w:rPr>
        <w:t>During the 1980s the national income was more evenly distributed across households.</w:t>
      </w:r>
      <w:bookmarkStart w:id="0" w:name="_GoBack"/>
      <w:bookmarkEnd w:id="0"/>
    </w:p>
    <w:p w14:paraId="75673110" w14:textId="77777777" w:rsidR="00247CA4" w:rsidRDefault="00811337">
      <w:pPr>
        <w:rPr>
          <w:rFonts w:ascii="Times New Roman" w:hAnsi="Times New Roman" w:cs="Times New Roman"/>
        </w:rPr>
      </w:pPr>
      <w:r>
        <w:rPr>
          <w:rFonts w:ascii="Times New Roman" w:hAnsi="Times New Roman" w:cs="Times New Roman"/>
        </w:rPr>
        <w:br w:type="page"/>
      </w:r>
    </w:p>
    <w:p w14:paraId="6169DD5A" w14:textId="6C7B570B" w:rsidR="00247CA4" w:rsidRDefault="00811337" w:rsidP="00247CA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1D6E9A82" w14:textId="77777777" w:rsidR="00247CA4" w:rsidRDefault="00811337" w:rsidP="00247CA4">
          <w:pPr>
            <w:pStyle w:val="Bibliography"/>
            <w:spacing w:line="480" w:lineRule="auto"/>
            <w:ind w:left="720" w:hanging="720"/>
            <w:rPr>
              <w:noProof/>
            </w:rPr>
          </w:pPr>
          <w:r>
            <w:fldChar w:fldCharType="begin"/>
          </w:r>
          <w:r>
            <w:instrText xml:space="preserve"> BIBLIOGRAPHY </w:instrText>
          </w:r>
          <w:r>
            <w:fldChar w:fldCharType="separate"/>
          </w:r>
          <w:r>
            <w:rPr>
              <w:noProof/>
            </w:rPr>
            <w:t>Batrancea, I., Batrancea, L., Nichita, A., Gaban, L., Masca, E., &amp; Morar, I.-D. (2019). An econometric approach on production, costs and profit i</w:t>
          </w:r>
          <w:r>
            <w:rPr>
              <w:noProof/>
            </w:rPr>
            <w:t xml:space="preserve">n Romanian coal mining enterprises . </w:t>
          </w:r>
          <w:r>
            <w:rPr>
              <w:i/>
              <w:iCs/>
              <w:noProof/>
            </w:rPr>
            <w:t>Economic Research-Ekonomska Istraživanja , 32</w:t>
          </w:r>
          <w:r>
            <w:rPr>
              <w:noProof/>
            </w:rPr>
            <w:t xml:space="preserve"> (1), 1019-1036 .</w:t>
          </w:r>
        </w:p>
        <w:p w14:paraId="372A3FF3" w14:textId="77777777" w:rsidR="00247CA4" w:rsidRDefault="00811337" w:rsidP="00247CA4">
          <w:pPr>
            <w:pStyle w:val="Bibliography"/>
            <w:spacing w:line="480" w:lineRule="auto"/>
            <w:ind w:left="720" w:hanging="720"/>
            <w:rPr>
              <w:noProof/>
            </w:rPr>
          </w:pPr>
          <w:r>
            <w:rPr>
              <w:noProof/>
            </w:rPr>
            <w:t xml:space="preserve">McEachern, W. A. (2009). </w:t>
          </w:r>
          <w:r>
            <w:rPr>
              <w:i/>
              <w:iCs/>
              <w:noProof/>
            </w:rPr>
            <w:t>Economics: A Contemporary Introduction.</w:t>
          </w:r>
          <w:r>
            <w:rPr>
              <w:noProof/>
            </w:rPr>
            <w:t xml:space="preserve"> Cengage Learning.</w:t>
          </w:r>
        </w:p>
        <w:p w14:paraId="6AE41522" w14:textId="77777777" w:rsidR="00247CA4" w:rsidRDefault="00811337" w:rsidP="00247CA4">
          <w:pPr>
            <w:pStyle w:val="Bibliography"/>
            <w:spacing w:line="480" w:lineRule="auto"/>
            <w:ind w:left="720" w:hanging="720"/>
            <w:rPr>
              <w:noProof/>
            </w:rPr>
          </w:pPr>
          <w:r>
            <w:rPr>
              <w:noProof/>
            </w:rPr>
            <w:t>Moskowitz, C. S., Seshan, V. E., Riedel, E. R., &amp; Begg, C. B. (2008). Est</w:t>
          </w:r>
          <w:r>
            <w:rPr>
              <w:noProof/>
            </w:rPr>
            <w:t xml:space="preserve">imating the empirical Lorenz curve and Gini coefficient in the presence of error with nested data. </w:t>
          </w:r>
          <w:r>
            <w:rPr>
              <w:i/>
              <w:iCs/>
              <w:noProof/>
            </w:rPr>
            <w:t>Stat Med, 27</w:t>
          </w:r>
          <w:r>
            <w:rPr>
              <w:noProof/>
            </w:rPr>
            <w:t xml:space="preserve"> (16), 3191–3208.</w:t>
          </w:r>
        </w:p>
        <w:p w14:paraId="4B0B9A9C" w14:textId="77777777" w:rsidR="00247CA4" w:rsidRDefault="00811337" w:rsidP="00247CA4">
          <w:pPr>
            <w:pStyle w:val="Bibliography"/>
            <w:spacing w:line="480" w:lineRule="auto"/>
            <w:ind w:left="720" w:hanging="720"/>
            <w:rPr>
              <w:noProof/>
            </w:rPr>
          </w:pPr>
          <w:r>
            <w:rPr>
              <w:noProof/>
            </w:rPr>
            <w:t xml:space="preserve">Rycroft, R. (2003). The Lorenz Curve and the Gini Coefficient. </w:t>
          </w:r>
          <w:r>
            <w:rPr>
              <w:i/>
              <w:iCs/>
              <w:noProof/>
            </w:rPr>
            <w:t>The Journal of Economic Education, 34</w:t>
          </w:r>
          <w:r>
            <w:rPr>
              <w:noProof/>
            </w:rPr>
            <w:t xml:space="preserve"> (3).</w:t>
          </w:r>
        </w:p>
        <w:p w14:paraId="1B9F96E5" w14:textId="77777777" w:rsidR="00247CA4" w:rsidRDefault="00811337" w:rsidP="00247CA4">
          <w:pPr>
            <w:spacing w:line="480" w:lineRule="auto"/>
            <w:ind w:left="720" w:hanging="720"/>
          </w:pPr>
          <w:r>
            <w:rPr>
              <w:b/>
              <w:bCs/>
              <w:noProof/>
            </w:rPr>
            <w:fldChar w:fldCharType="end"/>
          </w:r>
        </w:p>
      </w:sdtContent>
    </w:sdt>
    <w:p w14:paraId="546C9207" w14:textId="77777777" w:rsidR="00247CA4" w:rsidRPr="00B34DA8" w:rsidRDefault="00247CA4" w:rsidP="00247CA4">
      <w:pPr>
        <w:spacing w:line="480" w:lineRule="auto"/>
        <w:ind w:left="720" w:hanging="720"/>
        <w:jc w:val="both"/>
        <w:rPr>
          <w:rFonts w:ascii="Times New Roman" w:hAnsi="Times New Roman" w:cs="Times New Roman"/>
        </w:rPr>
      </w:pPr>
    </w:p>
    <w:p w14:paraId="52C73DC0" w14:textId="77777777" w:rsidR="00247CA4" w:rsidRDefault="00247CA4" w:rsidP="00247CA4">
      <w:pPr>
        <w:spacing w:line="480" w:lineRule="auto"/>
        <w:ind w:left="720" w:hanging="720"/>
        <w:jc w:val="both"/>
      </w:pPr>
    </w:p>
    <w:p w14:paraId="1A386279" w14:textId="77777777" w:rsidR="00247CA4" w:rsidRPr="00B34DA8" w:rsidRDefault="00247CA4" w:rsidP="00B34DA8">
      <w:pPr>
        <w:spacing w:line="480" w:lineRule="auto"/>
        <w:ind w:firstLine="720"/>
        <w:jc w:val="both"/>
        <w:rPr>
          <w:rFonts w:ascii="Times New Roman" w:hAnsi="Times New Roman" w:cs="Times New Roman"/>
        </w:rPr>
      </w:pPr>
    </w:p>
    <w:sectPr w:rsidR="00247CA4" w:rsidRPr="00B34DA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E6DB4" w14:textId="77777777" w:rsidR="00000000" w:rsidRDefault="00811337">
      <w:r>
        <w:separator/>
      </w:r>
    </w:p>
  </w:endnote>
  <w:endnote w:type="continuationSeparator" w:id="0">
    <w:p w14:paraId="6F8D74C0" w14:textId="77777777" w:rsidR="00000000" w:rsidRDefault="008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63475" w14:textId="77777777" w:rsidR="00000000" w:rsidRDefault="00811337">
      <w:r>
        <w:separator/>
      </w:r>
    </w:p>
  </w:footnote>
  <w:footnote w:type="continuationSeparator" w:id="0">
    <w:p w14:paraId="4D620B1E" w14:textId="77777777" w:rsidR="00000000" w:rsidRDefault="008113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6CE" w14:textId="77777777" w:rsidR="00FE61C4" w:rsidRDefault="00811337" w:rsidP="008609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085D9" w14:textId="77777777" w:rsidR="00FE61C4" w:rsidRDefault="00FE61C4" w:rsidP="00EB14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876FC" w14:textId="77777777" w:rsidR="00FE61C4" w:rsidRDefault="00811337" w:rsidP="008609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959729E" w14:textId="77777777" w:rsidR="00FE61C4" w:rsidRDefault="00811337" w:rsidP="00EB14E5">
    <w:pPr>
      <w:pStyle w:val="Header"/>
      <w:ind w:right="360"/>
    </w:pPr>
    <w:r>
      <w:t>Running head: MACROECONOMICS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E5"/>
    <w:rsid w:val="00247CA4"/>
    <w:rsid w:val="00254DC2"/>
    <w:rsid w:val="003C6B6F"/>
    <w:rsid w:val="00427FC4"/>
    <w:rsid w:val="004F3E88"/>
    <w:rsid w:val="00596209"/>
    <w:rsid w:val="006D141D"/>
    <w:rsid w:val="007A467D"/>
    <w:rsid w:val="00801B62"/>
    <w:rsid w:val="00811337"/>
    <w:rsid w:val="00832234"/>
    <w:rsid w:val="00860923"/>
    <w:rsid w:val="0098125F"/>
    <w:rsid w:val="00AB4DC5"/>
    <w:rsid w:val="00AD3A51"/>
    <w:rsid w:val="00B34DA8"/>
    <w:rsid w:val="00BA06DF"/>
    <w:rsid w:val="00BC3EA2"/>
    <w:rsid w:val="00D10D45"/>
    <w:rsid w:val="00D6331E"/>
    <w:rsid w:val="00E14E2A"/>
    <w:rsid w:val="00E50AC7"/>
    <w:rsid w:val="00EB14E5"/>
    <w:rsid w:val="00FE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C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4E5"/>
    <w:pPr>
      <w:tabs>
        <w:tab w:val="center" w:pos="4320"/>
        <w:tab w:val="right" w:pos="8640"/>
      </w:tabs>
    </w:pPr>
  </w:style>
  <w:style w:type="character" w:customStyle="1" w:styleId="HeaderChar">
    <w:name w:val="Header Char"/>
    <w:basedOn w:val="DefaultParagraphFont"/>
    <w:link w:val="Header"/>
    <w:uiPriority w:val="99"/>
    <w:rsid w:val="00EB14E5"/>
  </w:style>
  <w:style w:type="character" w:styleId="PageNumber">
    <w:name w:val="page number"/>
    <w:basedOn w:val="DefaultParagraphFont"/>
    <w:uiPriority w:val="99"/>
    <w:semiHidden/>
    <w:unhideWhenUsed/>
    <w:rsid w:val="00EB14E5"/>
  </w:style>
  <w:style w:type="paragraph" w:styleId="Footer">
    <w:name w:val="footer"/>
    <w:basedOn w:val="Normal"/>
    <w:link w:val="FooterChar"/>
    <w:uiPriority w:val="99"/>
    <w:unhideWhenUsed/>
    <w:rsid w:val="00EB14E5"/>
    <w:pPr>
      <w:tabs>
        <w:tab w:val="center" w:pos="4320"/>
        <w:tab w:val="right" w:pos="8640"/>
      </w:tabs>
    </w:pPr>
  </w:style>
  <w:style w:type="character" w:customStyle="1" w:styleId="FooterChar">
    <w:name w:val="Footer Char"/>
    <w:basedOn w:val="DefaultParagraphFont"/>
    <w:link w:val="Footer"/>
    <w:uiPriority w:val="99"/>
    <w:rsid w:val="00EB14E5"/>
  </w:style>
  <w:style w:type="paragraph" w:styleId="BalloonText">
    <w:name w:val="Balloon Text"/>
    <w:basedOn w:val="Normal"/>
    <w:link w:val="BalloonTextChar"/>
    <w:uiPriority w:val="99"/>
    <w:semiHidden/>
    <w:unhideWhenUsed/>
    <w:rsid w:val="00427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FC4"/>
    <w:rPr>
      <w:rFonts w:ascii="Lucida Grande" w:hAnsi="Lucida Grande" w:cs="Lucida Grande"/>
      <w:sz w:val="18"/>
      <w:szCs w:val="18"/>
    </w:rPr>
  </w:style>
  <w:style w:type="character" w:customStyle="1" w:styleId="Heading1Char">
    <w:name w:val="Heading 1 Char"/>
    <w:basedOn w:val="DefaultParagraphFont"/>
    <w:link w:val="Heading1"/>
    <w:uiPriority w:val="9"/>
    <w:rsid w:val="00247CA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47C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C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4E5"/>
    <w:pPr>
      <w:tabs>
        <w:tab w:val="center" w:pos="4320"/>
        <w:tab w:val="right" w:pos="8640"/>
      </w:tabs>
    </w:pPr>
  </w:style>
  <w:style w:type="character" w:customStyle="1" w:styleId="HeaderChar">
    <w:name w:val="Header Char"/>
    <w:basedOn w:val="DefaultParagraphFont"/>
    <w:link w:val="Header"/>
    <w:uiPriority w:val="99"/>
    <w:rsid w:val="00EB14E5"/>
  </w:style>
  <w:style w:type="character" w:styleId="PageNumber">
    <w:name w:val="page number"/>
    <w:basedOn w:val="DefaultParagraphFont"/>
    <w:uiPriority w:val="99"/>
    <w:semiHidden/>
    <w:unhideWhenUsed/>
    <w:rsid w:val="00EB14E5"/>
  </w:style>
  <w:style w:type="paragraph" w:styleId="Footer">
    <w:name w:val="footer"/>
    <w:basedOn w:val="Normal"/>
    <w:link w:val="FooterChar"/>
    <w:uiPriority w:val="99"/>
    <w:unhideWhenUsed/>
    <w:rsid w:val="00EB14E5"/>
    <w:pPr>
      <w:tabs>
        <w:tab w:val="center" w:pos="4320"/>
        <w:tab w:val="right" w:pos="8640"/>
      </w:tabs>
    </w:pPr>
  </w:style>
  <w:style w:type="character" w:customStyle="1" w:styleId="FooterChar">
    <w:name w:val="Footer Char"/>
    <w:basedOn w:val="DefaultParagraphFont"/>
    <w:link w:val="Footer"/>
    <w:uiPriority w:val="99"/>
    <w:rsid w:val="00EB14E5"/>
  </w:style>
  <w:style w:type="paragraph" w:styleId="BalloonText">
    <w:name w:val="Balloon Text"/>
    <w:basedOn w:val="Normal"/>
    <w:link w:val="BalloonTextChar"/>
    <w:uiPriority w:val="99"/>
    <w:semiHidden/>
    <w:unhideWhenUsed/>
    <w:rsid w:val="00427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FC4"/>
    <w:rPr>
      <w:rFonts w:ascii="Lucida Grande" w:hAnsi="Lucida Grande" w:cs="Lucida Grande"/>
      <w:sz w:val="18"/>
      <w:szCs w:val="18"/>
    </w:rPr>
  </w:style>
  <w:style w:type="character" w:customStyle="1" w:styleId="Heading1Char">
    <w:name w:val="Heading 1 Char"/>
    <w:basedOn w:val="DefaultParagraphFont"/>
    <w:link w:val="Heading1"/>
    <w:uiPriority w:val="9"/>
    <w:rsid w:val="00247CA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4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Wil09</b:Tag>
    <b:SourceType>Book</b:SourceType>
    <b:Guid>{987B555E-63DD-B84F-8B12-48138D1CD124}</b:Guid>
    <b:Author>
      <b:Author>
        <b:NameList>
          <b:Person>
            <b:Last>McEachern</b:Last>
            <b:First>William</b:First>
            <b:Middle>A.</b:Middle>
          </b:Person>
        </b:NameList>
      </b:Author>
    </b:Author>
    <b:Title>Economics: A Contemporary Introduction </b:Title>
    <b:Publisher>Cengage Learning</b:Publisher>
    <b:Year>2009</b:Year>
    <b:RefOrder>1</b:RefOrder>
  </b:Source>
  <b:Source>
    <b:Tag>Rob031</b:Tag>
    <b:SourceType>JournalArticle</b:SourceType>
    <b:Guid>{9EAA5354-1F0A-9143-93C6-B4191F8C3B69}</b:Guid>
    <b:Title>The Lorenz Curve and the Gini Coefficient</b:Title>
    <b:Year>2003</b:Year>
    <b:Volume>34</b:Volume>
    <b:Author>
      <b:Author>
        <b:NameList>
          <b:Person>
            <b:Last>Rycroft</b:Last>
            <b:First>Robert</b:First>
          </b:Person>
        </b:NameList>
      </b:Author>
    </b:Author>
    <b:JournalName>The Journal of Economic Education  </b:JournalName>
    <b:Issue>3</b:Issue>
    <b:RefOrder>3</b:RefOrder>
  </b:Source>
  <b:Source>
    <b:Tag>Cha08</b:Tag>
    <b:SourceType>JournalArticle</b:SourceType>
    <b:Guid>{2A9270B2-E7D4-E642-B27B-4F1E014EA05D}</b:Guid>
    <b:Author>
      <b:Author>
        <b:NameList>
          <b:Person>
            <b:Last>Moskowitz</b:Last>
            <b:First>Chaya</b:First>
            <b:Middle>S.</b:Middle>
          </b:Person>
          <b:Person>
            <b:Last>Seshan</b:Last>
            <b:First>Venkatraman</b:First>
            <b:Middle>E.</b:Middle>
          </b:Person>
          <b:Person>
            <b:Last>Riedel</b:Last>
            <b:First>Elyn</b:First>
            <b:Middle>R.</b:Middle>
          </b:Person>
          <b:Person>
            <b:Last>Begg</b:Last>
            <b:First>Colin</b:First>
            <b:Middle>B.</b:Middle>
          </b:Person>
        </b:NameList>
      </b:Author>
    </b:Author>
    <b:Title>Estimating the empirical Lorenz curve and Gini coefficient in the presence of error with nested data </b:Title>
    <b:JournalName>Stat Med</b:JournalName>
    <b:Year>2008</b:Year>
    <b:Volume>27</b:Volume>
    <b:Issue>16</b:Issue>
    <b:Pages>3191–3208</b:Pages>
    <b:RefOrder>4</b:RefOrder>
  </b:Source>
  <b:Source>
    <b:Tag>Ioa19</b:Tag>
    <b:SourceType>JournalArticle</b:SourceType>
    <b:Guid>{0F86B535-9AB2-AC4F-9273-C6AF6223248E}</b:Guid>
    <b:Author>
      <b:Author>
        <b:NameList>
          <b:Person>
            <b:Last>Batrancea</b:Last>
            <b:First>Ioan</b:First>
          </b:Person>
          <b:Person>
            <b:Last>Batrancea</b:Last>
            <b:First>Larissa</b:First>
          </b:Person>
          <b:Person>
            <b:Last>Nichita</b:Last>
            <b:First>Anca</b:First>
          </b:Person>
          <b:Person>
            <b:Last>Gaban</b:Last>
            <b:First>Lucian</b:First>
          </b:Person>
          <b:Person>
            <b:Last>Masca</b:Last>
            <b:First>Ema</b:First>
          </b:Person>
          <b:Person>
            <b:Last>Morar</b:Last>
            <b:First>Ioan-Dan</b:First>
          </b:Person>
        </b:NameList>
      </b:Author>
    </b:Author>
    <b:Title>An econometric approach on production, costs and profit in Romanian coal mining enterprises </b:Title>
    <b:JournalName>Economic Research-Ekonomska Istraživanja  </b:JournalName>
    <b:Year>2019</b:Year>
    <b:Volume>32</b:Volume>
    <b:Issue>1</b:Issue>
    <b:Pages>1019-1036 </b:Pages>
    <b:RefOrder>2</b:RefOrder>
  </b:Source>
</b:Sources>
</file>

<file path=customXml/itemProps1.xml><?xml version="1.0" encoding="utf-8"?>
<ds:datastoreItem xmlns:ds="http://schemas.openxmlformats.org/officeDocument/2006/customXml" ds:itemID="{11E8241C-1794-4049-A9F4-2EF8644C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3820</Characters>
  <Application>Microsoft Macintosh Word</Application>
  <DocSecurity>0</DocSecurity>
  <Lines>31</Lines>
  <Paragraphs>8</Paragraphs>
  <ScaleCrop>false</ScaleCrop>
  <Company>art</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2019-11-27T17:16:00Z</dcterms:created>
  <dcterms:modified xsi:type="dcterms:W3CDTF">2019-11-27T17:16:00Z</dcterms:modified>
</cp:coreProperties>
</file>