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44DB" w14:textId="77777777" w:rsidR="00F1329A" w:rsidRDefault="00F1329A" w:rsidP="00F1329A">
      <w:pPr>
        <w:spacing w:line="480" w:lineRule="auto"/>
        <w:jc w:val="center"/>
      </w:pPr>
    </w:p>
    <w:p w14:paraId="173E70EF" w14:textId="77777777" w:rsidR="00F1329A" w:rsidRDefault="00F1329A" w:rsidP="00F1329A">
      <w:pPr>
        <w:spacing w:line="480" w:lineRule="auto"/>
        <w:jc w:val="center"/>
      </w:pPr>
    </w:p>
    <w:p w14:paraId="517F3F77" w14:textId="77777777" w:rsidR="00F1329A" w:rsidRDefault="00F1329A" w:rsidP="00F1329A">
      <w:pPr>
        <w:spacing w:line="480" w:lineRule="auto"/>
        <w:jc w:val="center"/>
      </w:pPr>
    </w:p>
    <w:p w14:paraId="19B28C61" w14:textId="77777777" w:rsidR="00F1329A" w:rsidRDefault="00F1329A" w:rsidP="00F1329A">
      <w:pPr>
        <w:spacing w:line="480" w:lineRule="auto"/>
        <w:jc w:val="center"/>
      </w:pPr>
    </w:p>
    <w:p w14:paraId="71C01809" w14:textId="77777777" w:rsidR="00F1329A" w:rsidRDefault="00F1329A" w:rsidP="00F1329A">
      <w:pPr>
        <w:spacing w:line="480" w:lineRule="auto"/>
        <w:jc w:val="center"/>
      </w:pPr>
    </w:p>
    <w:p w14:paraId="71671750" w14:textId="77777777" w:rsidR="00F1329A" w:rsidRDefault="00F1329A" w:rsidP="00F1329A">
      <w:pPr>
        <w:spacing w:line="480" w:lineRule="auto"/>
        <w:jc w:val="center"/>
      </w:pPr>
      <w:r>
        <w:t>Title page</w:t>
      </w:r>
    </w:p>
    <w:p w14:paraId="1AF6569E" w14:textId="77777777" w:rsidR="00063CBB" w:rsidRDefault="00063CBB" w:rsidP="00F1329A">
      <w:pPr>
        <w:spacing w:line="480" w:lineRule="auto"/>
        <w:jc w:val="center"/>
      </w:pPr>
      <w:r>
        <w:t>Nursing scope</w:t>
      </w:r>
    </w:p>
    <w:p w14:paraId="7765BD4B" w14:textId="77777777" w:rsidR="00063CBB" w:rsidRDefault="00063CBB">
      <w:r>
        <w:br w:type="page"/>
      </w:r>
    </w:p>
    <w:p w14:paraId="151BD48B" w14:textId="7CE6B310" w:rsidR="00F1329A" w:rsidRDefault="00063CBB" w:rsidP="00063CBB">
      <w:pPr>
        <w:spacing w:line="480" w:lineRule="auto"/>
        <w:ind w:firstLine="720"/>
        <w:jc w:val="both"/>
        <w:rPr>
          <w:rFonts w:ascii="Times New Roman" w:hAnsi="Times New Roman" w:cs="Times New Roman"/>
        </w:rPr>
      </w:pPr>
      <w:r w:rsidRPr="00203629">
        <w:rPr>
          <w:rFonts w:ascii="Times New Roman" w:hAnsi="Times New Roman" w:cs="Times New Roman"/>
        </w:rPr>
        <w:lastRenderedPageBreak/>
        <w:t xml:space="preserve">Nurse practitioners have always faced restrictions by the states that impact their </w:t>
      </w:r>
      <w:r w:rsidR="00203629">
        <w:rPr>
          <w:rFonts w:ascii="Times New Roman" w:hAnsi="Times New Roman" w:cs="Times New Roman"/>
        </w:rPr>
        <w:t xml:space="preserve">practice. It is important for the state to impose restrictions for promoting appropriate care. I agree that nurses cannot fulfill the healthcare standards without these laws. I also agree that nurses must develop competencies for delivering care. Robert Wood Johnson Foundations identified some of the competencies that must be possessed by all nurses. I think that the purpose of Nurse Practitioners Mobilization Act was also to safeguard the interests of the population by imposing laws that make it compulsion for nurses to develop skills. </w:t>
      </w:r>
    </w:p>
    <w:p w14:paraId="12799EE9" w14:textId="1B2AEB78" w:rsidR="00203629" w:rsidRDefault="00203629" w:rsidP="00203629">
      <w:pPr>
        <w:spacing w:line="480" w:lineRule="auto"/>
        <w:ind w:firstLine="720"/>
        <w:jc w:val="both"/>
        <w:rPr>
          <w:rFonts w:ascii="Times New Roman" w:hAnsi="Times New Roman" w:cs="Times New Roman"/>
        </w:rPr>
      </w:pPr>
      <w:r>
        <w:rPr>
          <w:rFonts w:ascii="Times New Roman" w:hAnsi="Times New Roman" w:cs="Times New Roman"/>
        </w:rPr>
        <w:t>The laws states that they</w:t>
      </w:r>
      <w:r>
        <w:rPr>
          <w:rFonts w:ascii="Times New Roman" w:hAnsi="Times New Roman" w:cs="Times New Roman"/>
        </w:rPr>
        <w:t xml:space="preserve"> need </w:t>
      </w:r>
      <w:r>
        <w:rPr>
          <w:rFonts w:ascii="Times New Roman" w:hAnsi="Times New Roman" w:cs="Times New Roman"/>
        </w:rPr>
        <w:t xml:space="preserve">to integrate </w:t>
      </w:r>
      <w:r>
        <w:rPr>
          <w:rFonts w:ascii="Times New Roman" w:hAnsi="Times New Roman" w:cs="Times New Roman"/>
        </w:rPr>
        <w:t xml:space="preserve">adequate methods for assessing performance of student nurse. </w:t>
      </w:r>
      <w:r w:rsidRPr="00695A59">
        <w:rPr>
          <w:rFonts w:ascii="Times New Roman" w:hAnsi="Times New Roman" w:cs="Times New Roman"/>
        </w:rPr>
        <w:t xml:space="preserve">The purpose of conducting assessment testing and measurements, as they are crucial tools for evaluating the nursing education. </w:t>
      </w:r>
      <w:r>
        <w:rPr>
          <w:rFonts w:ascii="Times New Roman" w:hAnsi="Times New Roman" w:cs="Times New Roman"/>
        </w:rPr>
        <w:t xml:space="preserve">This allow learners to understand how things work in the healthcare settings and they manage to choose the right course of action that is in the best interest of the patients </w:t>
      </w:r>
      <w:sdt>
        <w:sdtPr>
          <w:rPr>
            <w:rFonts w:ascii="Times New Roman" w:hAnsi="Times New Roman" w:cs="Times New Roman"/>
          </w:rPr>
          <w:id w:val="-1596327084"/>
          <w:citation/>
        </w:sdtPr>
        <w:sdtContent>
          <w:r>
            <w:rPr>
              <w:rFonts w:ascii="Times New Roman" w:hAnsi="Times New Roman" w:cs="Times New Roman"/>
            </w:rPr>
            <w:fldChar w:fldCharType="begin"/>
          </w:r>
          <w:r>
            <w:rPr>
              <w:rFonts w:ascii="Times New Roman" w:hAnsi="Times New Roman" w:cs="Times New Roman"/>
            </w:rPr>
            <w:instrText xml:space="preserve">CITATION Placeholder1 \l 1033 </w:instrText>
          </w:r>
          <w:r>
            <w:rPr>
              <w:rFonts w:ascii="Times New Roman" w:hAnsi="Times New Roman" w:cs="Times New Roman"/>
            </w:rPr>
            <w:fldChar w:fldCharType="separate"/>
          </w:r>
          <w:r w:rsidRPr="00203629">
            <w:rPr>
              <w:rFonts w:ascii="Times New Roman" w:hAnsi="Times New Roman" w:cs="Times New Roman"/>
              <w:noProof/>
            </w:rPr>
            <w:t>(Seyhan &amp; Özbaş, 2018)</w:t>
          </w:r>
          <w:r>
            <w:rPr>
              <w:rFonts w:ascii="Times New Roman" w:hAnsi="Times New Roman" w:cs="Times New Roman"/>
            </w:rPr>
            <w:fldChar w:fldCharType="end"/>
          </w:r>
        </w:sdtContent>
      </w:sdt>
      <w:r w:rsidRPr="00695A59">
        <w:rPr>
          <w:rFonts w:ascii="Times New Roman" w:hAnsi="Times New Roman" w:cs="Times New Roman"/>
        </w:rPr>
        <w:t>. The evaluation relies on the relationship between the instructor and the students as improved interaction increase the understanding of the instructors regarding students learning.</w:t>
      </w:r>
    </w:p>
    <w:p w14:paraId="685F98FE" w14:textId="0F2D12C8" w:rsidR="004E23EF" w:rsidRDefault="00203629" w:rsidP="00203629">
      <w:pPr>
        <w:spacing w:line="480" w:lineRule="auto"/>
        <w:ind w:firstLine="720"/>
        <w:jc w:val="both"/>
        <w:rPr>
          <w:rFonts w:ascii="Times New Roman" w:hAnsi="Times New Roman" w:cs="Times New Roman"/>
        </w:rPr>
      </w:pPr>
      <w:r>
        <w:rPr>
          <w:rFonts w:ascii="Times New Roman" w:hAnsi="Times New Roman" w:cs="Times New Roman"/>
        </w:rPr>
        <w:t>These laws states that healthcare institutes must focus</w:t>
      </w:r>
      <w:r>
        <w:rPr>
          <w:rFonts w:ascii="Times New Roman" w:hAnsi="Times New Roman" w:cs="Times New Roman"/>
        </w:rPr>
        <w:t xml:space="preserve"> on building skills through practice and by offering hands-on experience. Students are allowed to work across different aspects that involve continuum of care and real-life situations. The pre-licensure grads also stresses on preparing students to take leadership roles. The courses and the teaching plan cover the areas of health assessment, adult health, mental health, pediatrics, obstetrics, pharmacology, information, research, ethics and policy. it further offer opportunities for allowing students to integrate simulation technology into value-based </w:t>
      </w:r>
      <w:r>
        <w:rPr>
          <w:rFonts w:ascii="Times New Roman" w:hAnsi="Times New Roman" w:cs="Times New Roman"/>
        </w:rPr>
        <w:lastRenderedPageBreak/>
        <w:t xml:space="preserve">curriculum. Students also learn to develop critical thinking, reasoning and communication skills. </w:t>
      </w:r>
    </w:p>
    <w:p w14:paraId="4F3631EF" w14:textId="77777777" w:rsidR="004E23EF" w:rsidRDefault="004E23EF">
      <w:pPr>
        <w:rPr>
          <w:rFonts w:ascii="Times New Roman" w:hAnsi="Times New Roman" w:cs="Times New Roman"/>
        </w:rPr>
      </w:pPr>
      <w:r>
        <w:rPr>
          <w:rFonts w:ascii="Times New Roman" w:hAnsi="Times New Roman" w:cs="Times New Roman"/>
        </w:rPr>
        <w:br w:type="page"/>
      </w:r>
    </w:p>
    <w:p w14:paraId="73729E3A" w14:textId="745AB983" w:rsidR="00203629" w:rsidRDefault="004E23EF" w:rsidP="004E23EF">
      <w:pPr>
        <w:spacing w:line="480" w:lineRule="auto"/>
        <w:ind w:firstLine="720"/>
        <w:jc w:val="center"/>
        <w:rPr>
          <w:rFonts w:ascii="Times New Roman" w:hAnsi="Times New Roman" w:cs="Times New Roman"/>
        </w:rPr>
      </w:pPr>
      <w:r>
        <w:rPr>
          <w:rFonts w:ascii="Times New Roman" w:hAnsi="Times New Roman" w:cs="Times New Roman"/>
        </w:rPr>
        <w:lastRenderedPageBreak/>
        <w:t>Refe</w:t>
      </w:r>
      <w:bookmarkStart w:id="0" w:name="_GoBack"/>
      <w:bookmarkEnd w:id="0"/>
      <w:r>
        <w:rPr>
          <w:rFonts w:ascii="Times New Roman" w:hAnsi="Times New Roman" w:cs="Times New Roman"/>
        </w:rPr>
        <w:t>rences</w:t>
      </w:r>
    </w:p>
    <w:p w14:paraId="578BD54B" w14:textId="77777777" w:rsidR="004E23EF" w:rsidRDefault="004E23EF" w:rsidP="004E23EF">
      <w:pPr>
        <w:pStyle w:val="Bibliography"/>
        <w:spacing w:line="480" w:lineRule="auto"/>
        <w:ind w:left="720" w:hanging="720"/>
        <w:rPr>
          <w:noProof/>
        </w:rPr>
      </w:pPr>
      <w:r>
        <w:rPr>
          <w:noProof/>
        </w:rPr>
        <w:t xml:space="preserve">Johnson, K. J., &amp; Mutchler, J. E. (2014). The Emergence of a Positive Gerontology: From Disengagement to Social Involvement . </w:t>
      </w:r>
      <w:r>
        <w:rPr>
          <w:i/>
          <w:iCs/>
          <w:noProof/>
        </w:rPr>
        <w:t>The Gerontologist</w:t>
      </w:r>
      <w:r>
        <w:rPr>
          <w:noProof/>
        </w:rPr>
        <w:t xml:space="preserve"> </w:t>
      </w:r>
      <w:r>
        <w:rPr>
          <w:i/>
          <w:iCs/>
          <w:noProof/>
        </w:rPr>
        <w:t>, 54</w:t>
      </w:r>
      <w:r>
        <w:rPr>
          <w:noProof/>
        </w:rPr>
        <w:t xml:space="preserve"> (1), 93–100.</w:t>
      </w:r>
    </w:p>
    <w:p w14:paraId="2A827E15" w14:textId="77777777" w:rsidR="004E23EF" w:rsidRDefault="004E23EF" w:rsidP="004E23EF">
      <w:pPr>
        <w:pStyle w:val="Bibliography"/>
        <w:spacing w:line="480" w:lineRule="auto"/>
        <w:ind w:left="720" w:hanging="720"/>
        <w:rPr>
          <w:noProof/>
        </w:rPr>
      </w:pPr>
      <w:r>
        <w:rPr>
          <w:noProof/>
        </w:rPr>
        <w:t xml:space="preserve">L.Maddox, G. (2000). </w:t>
      </w:r>
      <w:r>
        <w:rPr>
          <w:i/>
          <w:iCs/>
          <w:noProof/>
        </w:rPr>
        <w:t>Promoting Health: Intervention Strategies from Social and Behavioral Research.</w:t>
      </w:r>
      <w:r>
        <w:rPr>
          <w:noProof/>
        </w:rPr>
        <w:t xml:space="preserve"> Washington: National Academies Press.</w:t>
      </w:r>
    </w:p>
    <w:p w14:paraId="6B2BAB51" w14:textId="77777777" w:rsidR="004E23EF" w:rsidRDefault="004E23EF" w:rsidP="004E23EF">
      <w:pPr>
        <w:pStyle w:val="Bibliography"/>
        <w:spacing w:line="480" w:lineRule="auto"/>
        <w:ind w:left="720" w:hanging="720"/>
        <w:rPr>
          <w:noProof/>
        </w:rPr>
      </w:pPr>
      <w:r>
        <w:rPr>
          <w:noProof/>
        </w:rPr>
        <w:t xml:space="preserve">Naidoo, J., &amp; Wills, J. (2009). </w:t>
      </w:r>
      <w:r>
        <w:rPr>
          <w:i/>
          <w:iCs/>
          <w:noProof/>
        </w:rPr>
        <w:t>Foundations for Health Promotion 3rd ed.</w:t>
      </w:r>
      <w:r>
        <w:rPr>
          <w:noProof/>
        </w:rPr>
        <w:t xml:space="preserve"> London: Elsevier.</w:t>
      </w:r>
    </w:p>
    <w:p w14:paraId="05582B67" w14:textId="77777777" w:rsidR="004E23EF" w:rsidRPr="005D712D" w:rsidRDefault="004E23EF" w:rsidP="004E23EF">
      <w:pPr>
        <w:shd w:val="clear" w:color="auto" w:fill="FFFFFF"/>
        <w:spacing w:line="480" w:lineRule="auto"/>
        <w:ind w:left="720" w:right="75" w:hanging="720"/>
        <w:rPr>
          <w:rFonts w:ascii="Times New Roman" w:eastAsia="Times New Roman" w:hAnsi="Times New Roman" w:cs="Times New Roman"/>
          <w:color w:val="000000"/>
          <w:lang w:val="en-AU" w:eastAsia="en-AU"/>
        </w:rPr>
      </w:pPr>
      <w:r w:rsidRPr="00F92F82">
        <w:rPr>
          <w:rFonts w:ascii="Times New Roman" w:eastAsia="Times New Roman" w:hAnsi="Times New Roman" w:cs="Times New Roman"/>
          <w:color w:val="000000"/>
          <w:lang w:val="en-AU" w:eastAsia="en-AU"/>
        </w:rPr>
        <w:t>Sheffield Unitary Authority. (2016). Protecting and Improving Nation's Health. </w:t>
      </w:r>
      <w:r w:rsidRPr="00365384">
        <w:rPr>
          <w:rFonts w:ascii="Times New Roman" w:eastAsia="Times New Roman" w:hAnsi="Times New Roman" w:cs="Times New Roman"/>
          <w:i/>
          <w:iCs/>
          <w:color w:val="000000"/>
          <w:lang w:val="en-AU" w:eastAsia="en-AU"/>
        </w:rPr>
        <w:t>Public Health England</w:t>
      </w:r>
      <w:r w:rsidRPr="00F92F82">
        <w:rPr>
          <w:rFonts w:ascii="Times New Roman" w:eastAsia="Times New Roman" w:hAnsi="Times New Roman" w:cs="Times New Roman"/>
          <w:color w:val="000000"/>
          <w:lang w:val="en-AU" w:eastAsia="en-AU"/>
        </w:rPr>
        <w:t>.</w:t>
      </w:r>
    </w:p>
    <w:p w14:paraId="2285D454" w14:textId="77777777" w:rsidR="004E23EF" w:rsidRDefault="004E23EF" w:rsidP="004E23EF">
      <w:pPr>
        <w:pStyle w:val="Bibliography"/>
        <w:spacing w:line="480" w:lineRule="auto"/>
        <w:ind w:left="720" w:hanging="720"/>
        <w:rPr>
          <w:noProof/>
        </w:rPr>
      </w:pPr>
      <w:r>
        <w:rPr>
          <w:noProof/>
        </w:rPr>
        <w:t xml:space="preserve">Sözeri-Varma, G. (2012). Depression in the Elderly: Clinical Features and Risk Factors . </w:t>
      </w:r>
      <w:r>
        <w:rPr>
          <w:i/>
          <w:iCs/>
          <w:noProof/>
        </w:rPr>
        <w:t>Aging Dis</w:t>
      </w:r>
      <w:r>
        <w:rPr>
          <w:noProof/>
        </w:rPr>
        <w:t xml:space="preserve"> </w:t>
      </w:r>
      <w:r>
        <w:rPr>
          <w:i/>
          <w:iCs/>
          <w:noProof/>
        </w:rPr>
        <w:t>, 3</w:t>
      </w:r>
      <w:r>
        <w:rPr>
          <w:noProof/>
        </w:rPr>
        <w:t xml:space="preserve"> (6), 465–471.</w:t>
      </w:r>
    </w:p>
    <w:p w14:paraId="76173BB6" w14:textId="77777777" w:rsidR="004E23EF" w:rsidRDefault="004E23EF" w:rsidP="00203629">
      <w:pPr>
        <w:spacing w:line="480" w:lineRule="auto"/>
        <w:ind w:firstLine="720"/>
        <w:jc w:val="both"/>
        <w:rPr>
          <w:rFonts w:ascii="Times New Roman" w:hAnsi="Times New Roman" w:cs="Times New Roman"/>
        </w:rPr>
      </w:pPr>
    </w:p>
    <w:p w14:paraId="37C40842" w14:textId="77777777" w:rsidR="00203629" w:rsidRDefault="00203629" w:rsidP="00203629">
      <w:pPr>
        <w:spacing w:line="480" w:lineRule="auto"/>
        <w:ind w:firstLine="720"/>
        <w:jc w:val="both"/>
        <w:rPr>
          <w:rFonts w:ascii="Times New Roman" w:hAnsi="Times New Roman" w:cs="Times New Roman"/>
        </w:rPr>
      </w:pPr>
    </w:p>
    <w:p w14:paraId="2758BDE4" w14:textId="77777777" w:rsidR="00203629" w:rsidRPr="00203629" w:rsidRDefault="00203629" w:rsidP="00063CBB">
      <w:pPr>
        <w:spacing w:line="480" w:lineRule="auto"/>
        <w:ind w:firstLine="720"/>
        <w:jc w:val="both"/>
        <w:rPr>
          <w:rFonts w:ascii="Times New Roman" w:hAnsi="Times New Roman" w:cs="Times New Roman"/>
        </w:rPr>
      </w:pPr>
    </w:p>
    <w:p w14:paraId="67B59A5B" w14:textId="77777777" w:rsidR="00F1329A" w:rsidRDefault="00F1329A" w:rsidP="00F1329A">
      <w:r>
        <w:br w:type="page"/>
      </w:r>
    </w:p>
    <w:p w14:paraId="3CEF884C" w14:textId="77777777" w:rsidR="004F3E88" w:rsidRDefault="004F3E88"/>
    <w:sectPr w:rsidR="004F3E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52138" w14:textId="77777777" w:rsidR="00F1329A" w:rsidRDefault="00F1329A" w:rsidP="00F1329A">
      <w:r>
        <w:separator/>
      </w:r>
    </w:p>
  </w:endnote>
  <w:endnote w:type="continuationSeparator" w:id="0">
    <w:p w14:paraId="6B8F3D34" w14:textId="77777777" w:rsidR="00F1329A" w:rsidRDefault="00F1329A" w:rsidP="00F1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B362" w14:textId="77777777" w:rsidR="00F1329A" w:rsidRDefault="00F1329A" w:rsidP="00F1329A">
      <w:r>
        <w:separator/>
      </w:r>
    </w:p>
  </w:footnote>
  <w:footnote w:type="continuationSeparator" w:id="0">
    <w:p w14:paraId="231E4AD5" w14:textId="77777777" w:rsidR="00F1329A" w:rsidRDefault="00F1329A" w:rsidP="00F13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D04C" w14:textId="77777777" w:rsidR="00F1329A" w:rsidRDefault="00F1329A" w:rsidP="00BD3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0B612" w14:textId="77777777" w:rsidR="00F1329A" w:rsidRDefault="00F1329A" w:rsidP="00F132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B548" w14:textId="77777777" w:rsidR="00F1329A" w:rsidRDefault="00F1329A" w:rsidP="00BD3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3EF">
      <w:rPr>
        <w:rStyle w:val="PageNumber"/>
        <w:noProof/>
      </w:rPr>
      <w:t>1</w:t>
    </w:r>
    <w:r>
      <w:rPr>
        <w:rStyle w:val="PageNumber"/>
      </w:rPr>
      <w:fldChar w:fldCharType="end"/>
    </w:r>
  </w:p>
  <w:p w14:paraId="2AEA5796" w14:textId="77777777" w:rsidR="00F1329A" w:rsidRDefault="00F1329A" w:rsidP="00F1329A">
    <w:pPr>
      <w:pStyle w:val="Header"/>
      <w:ind w:right="360"/>
    </w:pPr>
    <w:r>
      <w:t>Running head: EVIDENCE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9A"/>
    <w:rsid w:val="00063CBB"/>
    <w:rsid w:val="00203629"/>
    <w:rsid w:val="004E23EF"/>
    <w:rsid w:val="004F3E88"/>
    <w:rsid w:val="00F1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28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9A"/>
    <w:pPr>
      <w:tabs>
        <w:tab w:val="center" w:pos="4320"/>
        <w:tab w:val="right" w:pos="8640"/>
      </w:tabs>
    </w:pPr>
  </w:style>
  <w:style w:type="character" w:customStyle="1" w:styleId="HeaderChar">
    <w:name w:val="Header Char"/>
    <w:basedOn w:val="DefaultParagraphFont"/>
    <w:link w:val="Header"/>
    <w:uiPriority w:val="99"/>
    <w:rsid w:val="00F1329A"/>
  </w:style>
  <w:style w:type="character" w:styleId="PageNumber">
    <w:name w:val="page number"/>
    <w:basedOn w:val="DefaultParagraphFont"/>
    <w:uiPriority w:val="99"/>
    <w:semiHidden/>
    <w:unhideWhenUsed/>
    <w:rsid w:val="00F1329A"/>
  </w:style>
  <w:style w:type="paragraph" w:styleId="Footer">
    <w:name w:val="footer"/>
    <w:basedOn w:val="Normal"/>
    <w:link w:val="FooterChar"/>
    <w:uiPriority w:val="99"/>
    <w:unhideWhenUsed/>
    <w:rsid w:val="00F1329A"/>
    <w:pPr>
      <w:tabs>
        <w:tab w:val="center" w:pos="4320"/>
        <w:tab w:val="right" w:pos="8640"/>
      </w:tabs>
    </w:pPr>
  </w:style>
  <w:style w:type="character" w:customStyle="1" w:styleId="FooterChar">
    <w:name w:val="Footer Char"/>
    <w:basedOn w:val="DefaultParagraphFont"/>
    <w:link w:val="Footer"/>
    <w:uiPriority w:val="99"/>
    <w:rsid w:val="00F1329A"/>
  </w:style>
  <w:style w:type="paragraph" w:styleId="BalloonText">
    <w:name w:val="Balloon Text"/>
    <w:basedOn w:val="Normal"/>
    <w:link w:val="BalloonTextChar"/>
    <w:uiPriority w:val="99"/>
    <w:semiHidden/>
    <w:unhideWhenUsed/>
    <w:rsid w:val="00203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629"/>
    <w:rPr>
      <w:rFonts w:ascii="Lucida Grande" w:hAnsi="Lucida Grande" w:cs="Lucida Grande"/>
      <w:sz w:val="18"/>
      <w:szCs w:val="18"/>
    </w:rPr>
  </w:style>
  <w:style w:type="paragraph" w:styleId="Bibliography">
    <w:name w:val="Bibliography"/>
    <w:basedOn w:val="Normal"/>
    <w:next w:val="Normal"/>
    <w:uiPriority w:val="37"/>
    <w:unhideWhenUsed/>
    <w:rsid w:val="004E23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9A"/>
    <w:pPr>
      <w:tabs>
        <w:tab w:val="center" w:pos="4320"/>
        <w:tab w:val="right" w:pos="8640"/>
      </w:tabs>
    </w:pPr>
  </w:style>
  <w:style w:type="character" w:customStyle="1" w:styleId="HeaderChar">
    <w:name w:val="Header Char"/>
    <w:basedOn w:val="DefaultParagraphFont"/>
    <w:link w:val="Header"/>
    <w:uiPriority w:val="99"/>
    <w:rsid w:val="00F1329A"/>
  </w:style>
  <w:style w:type="character" w:styleId="PageNumber">
    <w:name w:val="page number"/>
    <w:basedOn w:val="DefaultParagraphFont"/>
    <w:uiPriority w:val="99"/>
    <w:semiHidden/>
    <w:unhideWhenUsed/>
    <w:rsid w:val="00F1329A"/>
  </w:style>
  <w:style w:type="paragraph" w:styleId="Footer">
    <w:name w:val="footer"/>
    <w:basedOn w:val="Normal"/>
    <w:link w:val="FooterChar"/>
    <w:uiPriority w:val="99"/>
    <w:unhideWhenUsed/>
    <w:rsid w:val="00F1329A"/>
    <w:pPr>
      <w:tabs>
        <w:tab w:val="center" w:pos="4320"/>
        <w:tab w:val="right" w:pos="8640"/>
      </w:tabs>
    </w:pPr>
  </w:style>
  <w:style w:type="character" w:customStyle="1" w:styleId="FooterChar">
    <w:name w:val="Footer Char"/>
    <w:basedOn w:val="DefaultParagraphFont"/>
    <w:link w:val="Footer"/>
    <w:uiPriority w:val="99"/>
    <w:rsid w:val="00F1329A"/>
  </w:style>
  <w:style w:type="paragraph" w:styleId="BalloonText">
    <w:name w:val="Balloon Text"/>
    <w:basedOn w:val="Normal"/>
    <w:link w:val="BalloonTextChar"/>
    <w:uiPriority w:val="99"/>
    <w:semiHidden/>
    <w:unhideWhenUsed/>
    <w:rsid w:val="00203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629"/>
    <w:rPr>
      <w:rFonts w:ascii="Lucida Grande" w:hAnsi="Lucida Grande" w:cs="Lucida Grande"/>
      <w:sz w:val="18"/>
      <w:szCs w:val="18"/>
    </w:rPr>
  </w:style>
  <w:style w:type="paragraph" w:styleId="Bibliography">
    <w:name w:val="Bibliography"/>
    <w:basedOn w:val="Normal"/>
    <w:next w:val="Normal"/>
    <w:uiPriority w:val="37"/>
    <w:unhideWhenUsed/>
    <w:rsid w:val="004E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{21BA10D9-9525-9D4C-ACBE-788E801E77BB}</b:Guid>
    <b:LCID>uz-Cyrl-UZ</b:LCID>
    <b:Author>
      <b:Author>
        <b:NameList>
          <b:Person>
            <b:Last>Seyhan</b:Last>
            <b:First>A</b:First>
          </b:Person>
          <b:Person>
            <b:Last>Özbaş</b:Last>
            <b:First>E</b:First>
          </b:Person>
        </b:NameList>
      </b:Author>
    </b:Author>
    <b:Title>The effect of education of nurses on preventing catheter-associated urinary tract infections in patients who undergo hip fracture surgery. </b:Title>
    <b:Year>2018</b:Year>
    <b:JournalName>Journal of Clin Nurs</b:JournalName>
    <b:Volume>27</b:Volume>
    <b:Pages>5-6</b:Pages>
    <b:RefOrder>1</b:RefOrder>
  </b:Source>
</b:Sources>
</file>

<file path=customXml/itemProps1.xml><?xml version="1.0" encoding="utf-8"?>
<ds:datastoreItem xmlns:ds="http://schemas.openxmlformats.org/officeDocument/2006/customXml" ds:itemID="{6FBA3CE8-2C32-F34A-ADAC-0D7E818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394</Words>
  <Characters>2252</Characters>
  <Application>Microsoft Macintosh Word</Application>
  <DocSecurity>0</DocSecurity>
  <Lines>18</Lines>
  <Paragraphs>5</Paragraphs>
  <ScaleCrop>false</ScaleCrop>
  <Company>art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cp:revision>
  <dcterms:created xsi:type="dcterms:W3CDTF">2019-11-28T04:31:00Z</dcterms:created>
  <dcterms:modified xsi:type="dcterms:W3CDTF">2019-11-28T04:39:00Z</dcterms:modified>
</cp:coreProperties>
</file>