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C9A9" w14:textId="77777777" w:rsidR="00E81978" w:rsidRDefault="00C56C7E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337E2">
            <w:t>Discussion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8241A67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1C15E299" w14:textId="77777777" w:rsidR="00E81978" w:rsidRDefault="00C56C7E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0EA2C0C1" w14:textId="77777777" w:rsidR="006F07D6" w:rsidRDefault="006F07D6">
      <w:pPr>
        <w:pStyle w:val="NoSpacing"/>
      </w:pPr>
    </w:p>
    <w:p w14:paraId="14C9764C" w14:textId="77777777" w:rsidR="0028616D" w:rsidRDefault="0028616D">
      <w:pPr>
        <w:pStyle w:val="NoSpacing"/>
      </w:pPr>
    </w:p>
    <w:p w14:paraId="0FCBEE58" w14:textId="77777777" w:rsidR="0028616D" w:rsidRDefault="0028616D">
      <w:pPr>
        <w:pStyle w:val="NoSpacing"/>
      </w:pPr>
    </w:p>
    <w:p w14:paraId="1D836A4E" w14:textId="77777777" w:rsidR="0028616D" w:rsidRDefault="0028616D">
      <w:pPr>
        <w:pStyle w:val="NoSpacing"/>
      </w:pPr>
    </w:p>
    <w:p w14:paraId="5591FEFD" w14:textId="77777777" w:rsidR="0028616D" w:rsidRDefault="0028616D">
      <w:pPr>
        <w:pStyle w:val="NoSpacing"/>
      </w:pPr>
    </w:p>
    <w:p w14:paraId="5CF002C8" w14:textId="77777777" w:rsidR="0028616D" w:rsidRDefault="0028616D">
      <w:pPr>
        <w:pStyle w:val="NoSpacing"/>
      </w:pPr>
    </w:p>
    <w:p w14:paraId="7EA78872" w14:textId="77777777" w:rsidR="0028616D" w:rsidRDefault="0028616D">
      <w:pPr>
        <w:pStyle w:val="NoSpacing"/>
      </w:pPr>
    </w:p>
    <w:p w14:paraId="7C2A7CCA" w14:textId="77777777" w:rsidR="0028616D" w:rsidRDefault="0028616D">
      <w:pPr>
        <w:pStyle w:val="NoSpacing"/>
      </w:pPr>
    </w:p>
    <w:p w14:paraId="0502497F" w14:textId="77777777" w:rsidR="0028616D" w:rsidRDefault="0028616D">
      <w:pPr>
        <w:pStyle w:val="NoSpacing"/>
      </w:pPr>
    </w:p>
    <w:p w14:paraId="43CA4735" w14:textId="77777777" w:rsidR="006F07D6" w:rsidRDefault="006F07D6">
      <w:pPr>
        <w:pStyle w:val="NoSpacing"/>
      </w:pPr>
    </w:p>
    <w:p w14:paraId="421A8D54" w14:textId="77777777" w:rsidR="006F07D6" w:rsidRDefault="006F07D6">
      <w:pPr>
        <w:pStyle w:val="NoSpacing"/>
      </w:pPr>
    </w:p>
    <w:p w14:paraId="0FAC9786" w14:textId="77777777" w:rsidR="006F07D6" w:rsidRDefault="006F07D6">
      <w:pPr>
        <w:pStyle w:val="NoSpacing"/>
      </w:pPr>
    </w:p>
    <w:p w14:paraId="6B3DB882" w14:textId="77777777" w:rsidR="006F07D6" w:rsidRDefault="006F07D6">
      <w:pPr>
        <w:pStyle w:val="NoSpacing"/>
      </w:pPr>
    </w:p>
    <w:p w14:paraId="39DC4259" w14:textId="77777777" w:rsidR="006F07D6" w:rsidRDefault="006F07D6">
      <w:pPr>
        <w:pStyle w:val="NoSpacing"/>
      </w:pPr>
    </w:p>
    <w:p w14:paraId="51EA1231" w14:textId="77777777" w:rsidR="006F07D6" w:rsidRDefault="006F07D6">
      <w:pPr>
        <w:pStyle w:val="NoSpacing"/>
      </w:pPr>
    </w:p>
    <w:p w14:paraId="1BC8D50B" w14:textId="77777777" w:rsidR="006F07D6" w:rsidRDefault="006F07D6">
      <w:pPr>
        <w:pStyle w:val="NoSpacing"/>
      </w:pPr>
    </w:p>
    <w:p w14:paraId="02A1C86A" w14:textId="77777777" w:rsidR="006F07D6" w:rsidRDefault="0028616D" w:rsidP="0028616D">
      <w:pPr>
        <w:pStyle w:val="NoSpacing"/>
        <w:jc w:val="center"/>
      </w:pPr>
      <w:r>
        <w:lastRenderedPageBreak/>
        <w:t>Discussion</w:t>
      </w:r>
      <w:bookmarkStart w:id="0" w:name="_GoBack"/>
      <w:bookmarkEnd w:id="0"/>
    </w:p>
    <w:p w14:paraId="13922D94" w14:textId="77777777" w:rsidR="00516A3D" w:rsidRDefault="002337E2" w:rsidP="002337E2">
      <w:pPr>
        <w:pStyle w:val="NoSpacing"/>
        <w:ind w:firstLine="720"/>
      </w:pPr>
      <w:r>
        <w:t xml:space="preserve">Amber Guyger was guilty of </w:t>
      </w:r>
      <w:r w:rsidR="00DB7DC1">
        <w:t>Botham Jean</w:t>
      </w:r>
      <w:r>
        <w:t>’s murder</w:t>
      </w:r>
      <w:r w:rsidR="00DB7DC1">
        <w:t xml:space="preserve"> and was se</w:t>
      </w:r>
      <w:r>
        <w:t>ntenced to 99 years of prison</w:t>
      </w:r>
      <w:r w:rsidR="00DB7DC1">
        <w:t xml:space="preserve">. She explained that she misunderstood Jeans’ apartment </w:t>
      </w:r>
      <w:r>
        <w:t>with that of her and as she entered</w:t>
      </w:r>
      <w:r w:rsidR="00DB7DC1">
        <w:t xml:space="preserve"> the apartment, Jean moved towards her. </w:t>
      </w:r>
      <w:r>
        <w:t>She had no</w:t>
      </w:r>
      <w:r w:rsidR="00DB7DC1">
        <w:t xml:space="preserve"> motive to shoot Jean</w:t>
      </w:r>
      <w:r w:rsidR="00CE371C">
        <w:t xml:space="preserve"> but </w:t>
      </w:r>
      <w:r>
        <w:t xml:space="preserve">the </w:t>
      </w:r>
      <w:r w:rsidR="00CE371C">
        <w:t>succession of</w:t>
      </w:r>
      <w:r>
        <w:t xml:space="preserve"> events </w:t>
      </w:r>
      <w:r w:rsidR="00C34B46">
        <w:t>made her do that in defense. Her</w:t>
      </w:r>
      <w:r w:rsidR="00CE371C">
        <w:t xml:space="preserve"> social media activities and chats with fellow officers provide proofs of racist remarks and felonious </w:t>
      </w:r>
      <w:r w:rsidR="00D45EBB">
        <w:t>tendencies</w:t>
      </w:r>
      <w:r w:rsidR="00C34B46">
        <w:t xml:space="preserve"> for example</w:t>
      </w:r>
      <w:r w:rsidR="005A5DD7">
        <w:t xml:space="preserve"> “</w:t>
      </w:r>
      <w:r w:rsidR="005A5DD7" w:rsidRPr="005A5DD7">
        <w:rPr>
          <w:rFonts w:cstheme="minorHAnsi"/>
          <w:color w:val="000000"/>
          <w:shd w:val="clear" w:color="auto" w:fill="FFFFFF"/>
        </w:rPr>
        <w:t>No one ever thanks me for having the patience not to kill them</w:t>
      </w:r>
      <w:r w:rsidR="005A5DD7">
        <w:rPr>
          <w:rFonts w:cstheme="minorHAnsi"/>
          <w:color w:val="000000"/>
          <w:shd w:val="clear" w:color="auto" w:fill="FFFFFF"/>
        </w:rPr>
        <w:t xml:space="preserve"> </w:t>
      </w:r>
      <w:sdt>
        <w:sdtPr>
          <w:rPr>
            <w:rFonts w:cstheme="minorHAnsi"/>
            <w:color w:val="000000"/>
            <w:shd w:val="clear" w:color="auto" w:fill="FFFFFF"/>
          </w:rPr>
          <w:id w:val="1617109045"/>
          <w:citation/>
        </w:sdtPr>
        <w:sdtEndPr/>
        <w:sdtContent>
          <w:r w:rsidR="00C34B46">
            <w:rPr>
              <w:rFonts w:cstheme="minorHAnsi"/>
              <w:color w:val="000000"/>
              <w:shd w:val="clear" w:color="auto" w:fill="FFFFFF"/>
            </w:rPr>
            <w:fldChar w:fldCharType="begin"/>
          </w:r>
          <w:r w:rsidR="00C34B46">
            <w:rPr>
              <w:rFonts w:cstheme="minorHAnsi"/>
              <w:color w:val="000000"/>
              <w:shd w:val="clear" w:color="auto" w:fill="FFFFFF"/>
            </w:rPr>
            <w:instrText xml:space="preserve"> CITATION Eli18 \l 1033 </w:instrText>
          </w:r>
          <w:r w:rsidR="00C34B46">
            <w:rPr>
              <w:rFonts w:cstheme="minorHAnsi"/>
              <w:color w:val="000000"/>
              <w:shd w:val="clear" w:color="auto" w:fill="FFFFFF"/>
            </w:rPr>
            <w:fldChar w:fldCharType="separate"/>
          </w:r>
          <w:r w:rsidR="00C34B46" w:rsidRPr="00C34B46">
            <w:rPr>
              <w:rFonts w:cstheme="minorHAnsi"/>
              <w:noProof/>
              <w:color w:val="000000"/>
              <w:shd w:val="clear" w:color="auto" w:fill="FFFFFF"/>
            </w:rPr>
            <w:t>(Elizabeth Wiley, 2018)</w:t>
          </w:r>
          <w:r w:rsidR="00C34B46">
            <w:rPr>
              <w:rFonts w:cstheme="minorHAnsi"/>
              <w:color w:val="000000"/>
              <w:shd w:val="clear" w:color="auto" w:fill="FFFFFF"/>
            </w:rPr>
            <w:fldChar w:fldCharType="end"/>
          </w:r>
        </w:sdtContent>
      </w:sdt>
      <w:r w:rsidR="00C34B46">
        <w:rPr>
          <w:rFonts w:cstheme="minorHAnsi"/>
          <w:color w:val="000000"/>
          <w:shd w:val="clear" w:color="auto" w:fill="FFFFFF"/>
        </w:rPr>
        <w:t>”</w:t>
      </w:r>
      <w:r w:rsidR="00CE371C" w:rsidRPr="005A5DD7">
        <w:rPr>
          <w:rFonts w:cstheme="minorHAnsi"/>
        </w:rPr>
        <w:t xml:space="preserve">. </w:t>
      </w:r>
      <w:r>
        <w:t xml:space="preserve">In her </w:t>
      </w:r>
      <w:r w:rsidR="00CE371C">
        <w:t>911</w:t>
      </w:r>
      <w:r w:rsidR="00D45EBB">
        <w:t xml:space="preserve"> call</w:t>
      </w:r>
      <w:r>
        <w:t xml:space="preserve"> recording, </w:t>
      </w:r>
      <w:r w:rsidR="00CE371C">
        <w:t>she</w:t>
      </w:r>
      <w:r>
        <w:t xml:space="preserve"> informed about incident but did not perform CPR using first aid kit, she had in her back-pack</w:t>
      </w:r>
      <w:r w:rsidR="008C0435">
        <w:t>.</w:t>
      </w:r>
      <w:r>
        <w:t xml:space="preserve"> </w:t>
      </w:r>
      <w:r w:rsidR="00516A3D">
        <w:t>The shooting</w:t>
      </w:r>
      <w:r>
        <w:t xml:space="preserve"> </w:t>
      </w:r>
      <w:r w:rsidR="00516A3D">
        <w:t>can</w:t>
      </w:r>
      <w:r w:rsidR="009E442F">
        <w:t>not be justified because</w:t>
      </w:r>
      <w:r w:rsidR="00516A3D">
        <w:t xml:space="preserve"> </w:t>
      </w:r>
      <w:r w:rsidR="009E442F">
        <w:t xml:space="preserve">it </w:t>
      </w:r>
      <w:r w:rsidR="00516A3D">
        <w:t>is clearly dangerous to human life which falls under second</w:t>
      </w:r>
      <w:r>
        <w:t>-</w:t>
      </w:r>
      <w:r w:rsidR="00516A3D">
        <w:t>degree mur</w:t>
      </w:r>
      <w:r>
        <w:t>der or manslaughter according to</w:t>
      </w:r>
      <w:r w:rsidR="00516A3D">
        <w:t xml:space="preserve"> Texas </w:t>
      </w:r>
      <w:r>
        <w:t xml:space="preserve">criminal law. </w:t>
      </w:r>
    </w:p>
    <w:p w14:paraId="69EB3A8B" w14:textId="77777777" w:rsidR="00516A3D" w:rsidRDefault="00FD5659" w:rsidP="002337E2">
      <w:pPr>
        <w:pStyle w:val="NoSpacing"/>
        <w:ind w:firstLine="720"/>
      </w:pPr>
      <w:r>
        <w:t xml:space="preserve">Her explanation that she believed she was in her own house is not justifiable, because this assertion </w:t>
      </w:r>
      <w:r w:rsidR="002337E2">
        <w:t>was a mistake.</w:t>
      </w:r>
      <w:r w:rsidR="005A5DD7">
        <w:t xml:space="preserve">  “ </w:t>
      </w:r>
      <w:r w:rsidR="002337E2">
        <w:t>L</w:t>
      </w:r>
      <w:r w:rsidR="005A5DD7">
        <w:t>ack of intent c</w:t>
      </w:r>
      <w:r>
        <w:t>an be qualified as a defense</w:t>
      </w:r>
      <w:r w:rsidR="005A5DD7">
        <w:t xml:space="preserve"> </w:t>
      </w:r>
      <w:r w:rsidR="005A5DD7">
        <w:fldChar w:fldCharType="begin"/>
      </w:r>
      <w:r w:rsidR="005A5DD7">
        <w:instrText xml:space="preserve"> ADDIN ZOTERO_ITEM CSL_CITATION {"citationID":"2IJxNm2F","properties":{"formattedCitation":"(\\uc0\\u8220{}Texas Second Degree Murder Laws,\\uc0\\u8221{} n.d.)","plainCitation":"(“Texas Second Degree Murder Laws,” n.d.)","noteIndex":0},"citationItems":[{"id":66,"uris":["http://zotero.org/users/local/5OlhLovK/items/5RA5CHBN"],"uri":["http://zotero.org/users/local/5OlhLovK/items/5RA5CHBN"],"itemData":{"id":66,"type":"webpage","title":"Texas Second Degree Murder Laws","container-title":"Findlaw","abstract":"Learn more about Texas second degree murder laws, homicide, wrongful death, and other legal issues at FindLaw.com.","URL":"https://statelaws.findlaw.com/texas-law/texas-second-degree-murder-laws.html","language":"en-US","accessed":{"date-parts":[["2019",10,25]]}}}],"schema":"https://github.com/citation-style-language/schema/raw/master/csl-citation.json"} </w:instrText>
      </w:r>
      <w:r w:rsidR="005A5DD7">
        <w:fldChar w:fldCharType="separate"/>
      </w:r>
      <w:r w:rsidR="005A5DD7" w:rsidRPr="005A5DD7">
        <w:rPr>
          <w:rFonts w:ascii="Times New Roman" w:hAnsi="Times New Roman" w:cs="Times New Roman"/>
        </w:rPr>
        <w:t>(“Texas Second Degree Murder Laws,” n.d.)</w:t>
      </w:r>
      <w:r w:rsidR="005A5DD7">
        <w:fldChar w:fldCharType="end"/>
      </w:r>
      <w:r w:rsidR="00C34B46">
        <w:t>”</w:t>
      </w:r>
      <w:r>
        <w:t xml:space="preserve"> but the action carries a felon</w:t>
      </w:r>
      <w:r w:rsidR="002337E2">
        <w:t>i</w:t>
      </w:r>
      <w:r>
        <w:t>ous nature, if justified for a person in un</w:t>
      </w:r>
      <w:r w:rsidR="002337E2">
        <w:t>i</w:t>
      </w:r>
      <w:r>
        <w:t>form, will consequently result in many other incidents like that.</w:t>
      </w:r>
    </w:p>
    <w:p w14:paraId="0031C4AF" w14:textId="77777777" w:rsidR="008C0435" w:rsidRPr="00C34B46" w:rsidRDefault="00FD5659" w:rsidP="00F31CAB">
      <w:pPr>
        <w:pStyle w:val="NoSpacing"/>
        <w:ind w:firstLine="720"/>
        <w:rPr>
          <w:rFonts w:ascii="Times New Roman" w:hAnsi="Times New Roman" w:cs="Times New Roman"/>
          <w:color w:val="666666"/>
          <w:shd w:val="clear" w:color="auto" w:fill="FFFFFF"/>
        </w:rPr>
      </w:pPr>
      <w:r w:rsidRPr="00C34B46">
        <w:rPr>
          <w:rFonts w:ascii="Times New Roman" w:hAnsi="Times New Roman" w:cs="Times New Roman"/>
        </w:rPr>
        <w:t>The sentence i</w:t>
      </w:r>
      <w:r w:rsidR="002337E2" w:rsidRPr="00C34B46">
        <w:rPr>
          <w:rFonts w:ascii="Times New Roman" w:hAnsi="Times New Roman" w:cs="Times New Roman"/>
        </w:rPr>
        <w:t>s justified when complemented with</w:t>
      </w:r>
      <w:r w:rsidRPr="00C34B46">
        <w:rPr>
          <w:rFonts w:ascii="Times New Roman" w:hAnsi="Times New Roman" w:cs="Times New Roman"/>
        </w:rPr>
        <w:t xml:space="preserve"> her social media records, text messages, racist tendencies </w:t>
      </w:r>
      <w:r w:rsidR="002337E2" w:rsidRPr="00C34B46">
        <w:rPr>
          <w:rFonts w:ascii="Times New Roman" w:hAnsi="Times New Roman" w:cs="Times New Roman"/>
        </w:rPr>
        <w:t>and the use of a weapon without warning</w:t>
      </w:r>
      <w:r w:rsidRPr="00C34B46">
        <w:rPr>
          <w:rFonts w:ascii="Times New Roman" w:hAnsi="Times New Roman" w:cs="Times New Roman"/>
        </w:rPr>
        <w:t xml:space="preserve">. The person in uniform must have a sense of responsibility to use </w:t>
      </w:r>
      <w:r w:rsidR="002337E2" w:rsidRPr="00C34B46">
        <w:rPr>
          <w:rFonts w:ascii="Times New Roman" w:hAnsi="Times New Roman" w:cs="Times New Roman"/>
        </w:rPr>
        <w:t xml:space="preserve">a </w:t>
      </w:r>
      <w:r w:rsidRPr="00C34B46">
        <w:rPr>
          <w:rFonts w:ascii="Times New Roman" w:hAnsi="Times New Roman" w:cs="Times New Roman"/>
        </w:rPr>
        <w:t>weapon for coercive purpose rather than direct shooting. According to Texas criminal law,</w:t>
      </w:r>
      <w:r w:rsidR="005A5DD7" w:rsidRPr="00C34B46">
        <w:rPr>
          <w:rFonts w:ascii="Times New Roman" w:hAnsi="Times New Roman" w:cs="Times New Roman"/>
          <w:color w:val="666666"/>
          <w:shd w:val="clear" w:color="auto" w:fill="FFFFFF"/>
        </w:rPr>
        <w:t xml:space="preserve"> “</w:t>
      </w:r>
      <w:r w:rsidR="005A5DD7" w:rsidRPr="00C34B46">
        <w:rPr>
          <w:rFonts w:ascii="Times New Roman" w:hAnsi="Times New Roman" w:cs="Times New Roman"/>
        </w:rPr>
        <w:t xml:space="preserve">This charge will typically carry a sentence of between five and 99 years in a state prison and/or a fine of no more than $10,000 </w:t>
      </w:r>
      <w:r w:rsidR="005A5DD7" w:rsidRPr="00C34B46">
        <w:rPr>
          <w:rFonts w:ascii="Times New Roman" w:hAnsi="Times New Roman" w:cs="Times New Roman"/>
        </w:rPr>
        <w:fldChar w:fldCharType="begin"/>
      </w:r>
      <w:r w:rsidR="005A5DD7" w:rsidRPr="00C34B46">
        <w:rPr>
          <w:rFonts w:ascii="Times New Roman" w:hAnsi="Times New Roman" w:cs="Times New Roman"/>
        </w:rPr>
        <w:instrText xml:space="preserve"> ADDIN ZOTERO_ITEM CSL_CITATION {"citationID":"V0QACKFa","properties":{"formattedCitation":"(Adlerstein, 1975)","plainCitation":"(Adlerstein, 1975)","noteIndex":0},"citationItems":[{"id":62,"uris":["http://zotero.org/users/local/5OlhLovK/items/AYSIPFVF"],"uri":["http://zotero.org/users/local/5OlhLovK/items/AYSIPFVF"],"itemData":{"id":62,"type":"article-journal","title":"Felony-Murder in the New Criminal Codes","container-title":"Am. J. Crim. L.","page":"249","volume":"4","source":"Google Scholar","author":[{"family":"Adlerstein","given":"Jo Anne C."}],"issued":{"date-parts":[["1975"]]}}}],"schema":"https://github.com/citation-style-language/schema/raw/master/csl-citation.json"} </w:instrText>
      </w:r>
      <w:r w:rsidR="005A5DD7" w:rsidRPr="00C34B46">
        <w:rPr>
          <w:rFonts w:ascii="Times New Roman" w:hAnsi="Times New Roman" w:cs="Times New Roman"/>
        </w:rPr>
        <w:fldChar w:fldCharType="separate"/>
      </w:r>
      <w:r w:rsidR="005A5DD7" w:rsidRPr="00C34B46">
        <w:rPr>
          <w:rFonts w:ascii="Times New Roman" w:hAnsi="Times New Roman" w:cs="Times New Roman"/>
        </w:rPr>
        <w:t>(Adlerstein, 1975)</w:t>
      </w:r>
      <w:r w:rsidR="005A5DD7" w:rsidRPr="00C34B46">
        <w:rPr>
          <w:rFonts w:ascii="Times New Roman" w:hAnsi="Times New Roman" w:cs="Times New Roman"/>
        </w:rPr>
        <w:fldChar w:fldCharType="end"/>
      </w:r>
      <w:r w:rsidR="00C34B46">
        <w:rPr>
          <w:rFonts w:ascii="Times New Roman" w:hAnsi="Times New Roman" w:cs="Times New Roman"/>
          <w:color w:val="666666"/>
          <w:shd w:val="clear" w:color="auto" w:fill="FFFFFF"/>
        </w:rPr>
        <w:t>” .</w:t>
      </w:r>
    </w:p>
    <w:p w14:paraId="10532D6B" w14:textId="77777777" w:rsidR="005A5DD7" w:rsidRDefault="005A5DD7" w:rsidP="004517D8">
      <w:pPr>
        <w:pStyle w:val="Heading5"/>
        <w:ind w:firstLine="0"/>
        <w:rPr>
          <w:rFonts w:ascii="Times New Roman" w:eastAsiaTheme="minorEastAsia" w:hAnsi="Times New Roman" w:cs="Times New Roman"/>
          <w:i w:val="0"/>
          <w:iCs w:val="0"/>
          <w:color w:val="666666"/>
          <w:kern w:val="0"/>
          <w:shd w:val="clear" w:color="auto" w:fill="FFFFFF"/>
        </w:rPr>
      </w:pPr>
    </w:p>
    <w:p w14:paraId="62020C0E" w14:textId="77777777" w:rsidR="004517D8" w:rsidRPr="004517D8" w:rsidRDefault="004517D8" w:rsidP="004517D8"/>
    <w:p w14:paraId="03956769" w14:textId="77777777" w:rsidR="00C34B46" w:rsidRDefault="00C34B46" w:rsidP="005A5DD7">
      <w:pPr>
        <w:pStyle w:val="Heading5"/>
        <w:ind w:left="3600"/>
        <w:rPr>
          <w:rFonts w:asciiTheme="minorHAnsi" w:eastAsiaTheme="minorEastAsia" w:hAnsiTheme="minorHAnsi" w:cstheme="minorHAnsi"/>
          <w:i w:val="0"/>
          <w:iCs w:val="0"/>
          <w:color w:val="666666"/>
          <w:kern w:val="0"/>
          <w:shd w:val="clear" w:color="auto" w:fill="FFFFFF"/>
        </w:rPr>
      </w:pPr>
    </w:p>
    <w:p w14:paraId="15ACE989" w14:textId="77777777" w:rsidR="008C0435" w:rsidRPr="004517D8" w:rsidRDefault="005A5DD7" w:rsidP="005A5DD7">
      <w:pPr>
        <w:pStyle w:val="Heading5"/>
        <w:ind w:left="3600"/>
        <w:rPr>
          <w:rFonts w:asciiTheme="minorHAnsi" w:eastAsiaTheme="minorEastAsia" w:hAnsiTheme="minorHAnsi" w:cstheme="minorHAnsi"/>
          <w:b/>
          <w:i w:val="0"/>
          <w:iCs w:val="0"/>
          <w:color w:val="000000" w:themeColor="text1"/>
          <w:kern w:val="0"/>
          <w:shd w:val="clear" w:color="auto" w:fill="FFFFFF"/>
        </w:rPr>
      </w:pPr>
      <w:r w:rsidRPr="004517D8">
        <w:rPr>
          <w:rFonts w:asciiTheme="minorHAnsi" w:eastAsiaTheme="minorEastAsia" w:hAnsiTheme="minorHAnsi" w:cstheme="minorHAnsi"/>
          <w:b/>
          <w:i w:val="0"/>
          <w:iCs w:val="0"/>
          <w:color w:val="000000" w:themeColor="text1"/>
          <w:kern w:val="0"/>
          <w:shd w:val="clear" w:color="auto" w:fill="FFFFFF"/>
        </w:rPr>
        <w:t xml:space="preserve">References </w:t>
      </w:r>
    </w:p>
    <w:p w14:paraId="2587DDB3" w14:textId="77777777" w:rsidR="00C34B46" w:rsidRPr="00C34B46" w:rsidRDefault="005A5DD7" w:rsidP="00C34B46">
      <w:pPr>
        <w:pStyle w:val="Bibliography"/>
        <w:jc w:val="both"/>
        <w:rPr>
          <w:rFonts w:ascii="Times New Roman" w:hAnsi="Times New Roman" w:cs="Times New Roman"/>
        </w:rPr>
      </w:pPr>
      <w:r>
        <w:fldChar w:fldCharType="begin"/>
      </w:r>
      <w:r w:rsidR="00C34B46">
        <w:instrText xml:space="preserve"> ADDIN ZOTERO_BIBL {"uncited":[],"omitted":[],"custom":[]} CSL_BIBLIOGRAPHY </w:instrText>
      </w:r>
      <w:r>
        <w:fldChar w:fldCharType="separate"/>
      </w:r>
      <w:r w:rsidR="00C34B46" w:rsidRPr="00C34B46">
        <w:rPr>
          <w:rFonts w:ascii="Times New Roman" w:hAnsi="Times New Roman" w:cs="Times New Roman"/>
        </w:rPr>
        <w:t xml:space="preserve">Adlerstein, J. A. C. (1975). Felony-Murder in the New Criminal Codes. </w:t>
      </w:r>
      <w:r w:rsidR="00C34B46" w:rsidRPr="00C34B46">
        <w:rPr>
          <w:rFonts w:ascii="Times New Roman" w:hAnsi="Times New Roman" w:cs="Times New Roman"/>
          <w:i/>
          <w:iCs/>
        </w:rPr>
        <w:t>Am. J. Crim. L.</w:t>
      </w:r>
      <w:r w:rsidR="00C34B46" w:rsidRPr="00C34B46">
        <w:rPr>
          <w:rFonts w:ascii="Times New Roman" w:hAnsi="Times New Roman" w:cs="Times New Roman"/>
        </w:rPr>
        <w:t xml:space="preserve">, </w:t>
      </w:r>
      <w:r w:rsidR="00C34B46" w:rsidRPr="00C34B46">
        <w:rPr>
          <w:rFonts w:ascii="Times New Roman" w:hAnsi="Times New Roman" w:cs="Times New Roman"/>
          <w:i/>
          <w:iCs/>
        </w:rPr>
        <w:t>4</w:t>
      </w:r>
      <w:r w:rsidR="00C34B46" w:rsidRPr="00C34B46">
        <w:rPr>
          <w:rFonts w:ascii="Times New Roman" w:hAnsi="Times New Roman" w:cs="Times New Roman"/>
        </w:rPr>
        <w:t>, 249.</w:t>
      </w:r>
    </w:p>
    <w:p w14:paraId="6850E6F4" w14:textId="77777777" w:rsidR="00C34B46" w:rsidRPr="00C34B46" w:rsidRDefault="00C34B46" w:rsidP="00C34B46">
      <w:pPr>
        <w:pStyle w:val="Bibliography"/>
        <w:jc w:val="both"/>
        <w:rPr>
          <w:rFonts w:ascii="Times New Roman" w:hAnsi="Times New Roman" w:cs="Times New Roman"/>
        </w:rPr>
      </w:pPr>
      <w:r w:rsidRPr="00C34B46">
        <w:rPr>
          <w:rFonts w:ascii="Times New Roman" w:hAnsi="Times New Roman" w:cs="Times New Roman"/>
        </w:rPr>
        <w:t>Jury finds Amber Guyger guilty of murder in shooting death of Botham Jean. (n.d.). Retrieved October 25, 2019, from WFAA website: https://www.wfaa.com/article/news/special-reports/botham-jean/jury-finds-amber-guyger-guilty-of-murder-in-shooting-death-of-botham-jean/287-a88120eb-9a82-4b33-8be3-3ad1b2d9656e</w:t>
      </w:r>
    </w:p>
    <w:p w14:paraId="02B9110F" w14:textId="77777777" w:rsidR="00C34B46" w:rsidRPr="00C34B46" w:rsidRDefault="00C34B46" w:rsidP="00C34B46">
      <w:pPr>
        <w:pStyle w:val="Bibliography"/>
        <w:jc w:val="both"/>
        <w:rPr>
          <w:rFonts w:ascii="Times New Roman" w:hAnsi="Times New Roman" w:cs="Times New Roman"/>
        </w:rPr>
      </w:pPr>
      <w:r w:rsidRPr="00C34B46">
        <w:rPr>
          <w:rFonts w:ascii="Times New Roman" w:hAnsi="Times New Roman" w:cs="Times New Roman"/>
        </w:rPr>
        <w:t>Texas Second Degree Murder Laws. (n.d.). Retrieved October 25, 2019, from Findlaw website: https://statelaws.findlaw.com/texas-law/texas-second-degree-murder-laws.html</w:t>
      </w:r>
    </w:p>
    <w:p w14:paraId="10D02DF1" w14:textId="77777777" w:rsidR="005A5DD7" w:rsidRPr="005A5DD7" w:rsidRDefault="005A5DD7" w:rsidP="00C34B46">
      <w:pPr>
        <w:jc w:val="both"/>
      </w:pPr>
      <w:r>
        <w:fldChar w:fldCharType="end"/>
      </w:r>
    </w:p>
    <w:p w14:paraId="1D7F2097" w14:textId="77777777" w:rsidR="005A5DD7" w:rsidRDefault="005A5DD7" w:rsidP="005A5DD7"/>
    <w:p w14:paraId="31120784" w14:textId="77777777" w:rsidR="005A5DD7" w:rsidRPr="005A5DD7" w:rsidRDefault="005A5DD7" w:rsidP="005A5DD7"/>
    <w:p w14:paraId="1BB71172" w14:textId="77777777" w:rsidR="008C0435" w:rsidRDefault="008C0435" w:rsidP="00C31D30">
      <w:pPr>
        <w:pStyle w:val="Heading5"/>
      </w:pPr>
    </w:p>
    <w:p w14:paraId="5925089F" w14:textId="77777777" w:rsidR="00355DCA" w:rsidRPr="00C31D30" w:rsidRDefault="00355DCA" w:rsidP="002337E2">
      <w:pPr>
        <w:pStyle w:val="Heading5"/>
        <w:ind w:firstLine="0"/>
      </w:pPr>
    </w:p>
    <w:sectPr w:rsidR="00355DCA" w:rsidRPr="00C31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20707C" w16cid:durableId="215CD9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93C9" w14:textId="77777777" w:rsidR="00C56C7E" w:rsidRDefault="00C56C7E">
      <w:pPr>
        <w:spacing w:line="240" w:lineRule="auto"/>
      </w:pPr>
      <w:r>
        <w:separator/>
      </w:r>
    </w:p>
    <w:p w14:paraId="0A053CCC" w14:textId="77777777" w:rsidR="00C56C7E" w:rsidRDefault="00C56C7E"/>
  </w:endnote>
  <w:endnote w:type="continuationSeparator" w:id="0">
    <w:p w14:paraId="643CA7C7" w14:textId="77777777" w:rsidR="00C56C7E" w:rsidRDefault="00C56C7E">
      <w:pPr>
        <w:spacing w:line="240" w:lineRule="auto"/>
      </w:pPr>
      <w:r>
        <w:continuationSeparator/>
      </w:r>
    </w:p>
    <w:p w14:paraId="05FD5C02" w14:textId="77777777" w:rsidR="00C56C7E" w:rsidRDefault="00C56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773C" w14:textId="77777777" w:rsidR="00F31CAB" w:rsidRDefault="00F31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A7B9" w14:textId="77777777" w:rsidR="00F31CAB" w:rsidRDefault="00F31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4411" w14:textId="77777777" w:rsidR="00F31CAB" w:rsidRDefault="00F31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E7D4" w14:textId="77777777" w:rsidR="00C56C7E" w:rsidRDefault="00C56C7E">
      <w:pPr>
        <w:spacing w:line="240" w:lineRule="auto"/>
      </w:pPr>
      <w:r>
        <w:separator/>
      </w:r>
    </w:p>
    <w:p w14:paraId="16359A0B" w14:textId="77777777" w:rsidR="00C56C7E" w:rsidRDefault="00C56C7E"/>
  </w:footnote>
  <w:footnote w:type="continuationSeparator" w:id="0">
    <w:p w14:paraId="7975B113" w14:textId="77777777" w:rsidR="00C56C7E" w:rsidRDefault="00C56C7E">
      <w:pPr>
        <w:spacing w:line="240" w:lineRule="auto"/>
      </w:pPr>
      <w:r>
        <w:continuationSeparator/>
      </w:r>
    </w:p>
    <w:p w14:paraId="33171A91" w14:textId="77777777" w:rsidR="00C56C7E" w:rsidRDefault="00C56C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5CFC" w14:textId="77777777" w:rsidR="00F31CAB" w:rsidRDefault="00F31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353B" w14:textId="77777777" w:rsidR="00F31CAB" w:rsidRDefault="00C56C7E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CAB">
          <w:rPr>
            <w:rStyle w:val="Strong"/>
          </w:rPr>
          <w:t>Discussion</w:t>
        </w:r>
      </w:sdtContent>
    </w:sdt>
    <w:r w:rsidR="00F31CAB">
      <w:rPr>
        <w:rStyle w:val="Strong"/>
      </w:rPr>
      <w:ptab w:relativeTo="margin" w:alignment="right" w:leader="none"/>
    </w:r>
    <w:r w:rsidR="00F31CAB">
      <w:rPr>
        <w:rStyle w:val="Strong"/>
      </w:rPr>
      <w:fldChar w:fldCharType="begin"/>
    </w:r>
    <w:r w:rsidR="00F31CAB">
      <w:rPr>
        <w:rStyle w:val="Strong"/>
      </w:rPr>
      <w:instrText xml:space="preserve"> PAGE   \* MERGEFORMAT </w:instrText>
    </w:r>
    <w:r w:rsidR="00F31CAB">
      <w:rPr>
        <w:rStyle w:val="Strong"/>
      </w:rPr>
      <w:fldChar w:fldCharType="separate"/>
    </w:r>
    <w:r w:rsidR="00A031F8">
      <w:rPr>
        <w:rStyle w:val="Strong"/>
        <w:noProof/>
      </w:rPr>
      <w:t>3</w:t>
    </w:r>
    <w:r w:rsidR="00F31CAB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C29C" w14:textId="77777777" w:rsidR="00F31CAB" w:rsidRDefault="00F31CAB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Discussion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031F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NbE0MTc3NjO0tDBT0lEKTi0uzszPAykwqQUANxbwyiwAAAA="/>
  </w:docVars>
  <w:rsids>
    <w:rsidRoot w:val="00C50272"/>
    <w:rsid w:val="000D3F41"/>
    <w:rsid w:val="001F1A70"/>
    <w:rsid w:val="00216E92"/>
    <w:rsid w:val="002337E2"/>
    <w:rsid w:val="00236FEC"/>
    <w:rsid w:val="002574E8"/>
    <w:rsid w:val="0028616D"/>
    <w:rsid w:val="00355DCA"/>
    <w:rsid w:val="00386C09"/>
    <w:rsid w:val="004517D8"/>
    <w:rsid w:val="00516A3D"/>
    <w:rsid w:val="00551A02"/>
    <w:rsid w:val="005534FA"/>
    <w:rsid w:val="005A5DD7"/>
    <w:rsid w:val="005C74FA"/>
    <w:rsid w:val="005D3A03"/>
    <w:rsid w:val="005F670E"/>
    <w:rsid w:val="006F07D6"/>
    <w:rsid w:val="008002C0"/>
    <w:rsid w:val="008C0435"/>
    <w:rsid w:val="008C5323"/>
    <w:rsid w:val="00973287"/>
    <w:rsid w:val="009810D6"/>
    <w:rsid w:val="009A6A3B"/>
    <w:rsid w:val="009E442F"/>
    <w:rsid w:val="00A031F8"/>
    <w:rsid w:val="00A05785"/>
    <w:rsid w:val="00A60A20"/>
    <w:rsid w:val="00A90954"/>
    <w:rsid w:val="00A91EE5"/>
    <w:rsid w:val="00AA5150"/>
    <w:rsid w:val="00B60919"/>
    <w:rsid w:val="00B823AA"/>
    <w:rsid w:val="00BA45DB"/>
    <w:rsid w:val="00BF4184"/>
    <w:rsid w:val="00C0601E"/>
    <w:rsid w:val="00C31D30"/>
    <w:rsid w:val="00C34B46"/>
    <w:rsid w:val="00C50272"/>
    <w:rsid w:val="00C56C7E"/>
    <w:rsid w:val="00C676E1"/>
    <w:rsid w:val="00C73F57"/>
    <w:rsid w:val="00CD6E39"/>
    <w:rsid w:val="00CE371C"/>
    <w:rsid w:val="00CF6E91"/>
    <w:rsid w:val="00D45EBB"/>
    <w:rsid w:val="00D85B68"/>
    <w:rsid w:val="00DB7DC1"/>
    <w:rsid w:val="00E6004D"/>
    <w:rsid w:val="00E81978"/>
    <w:rsid w:val="00EE221B"/>
    <w:rsid w:val="00F31CAB"/>
    <w:rsid w:val="00F379B7"/>
    <w:rsid w:val="00F525FA"/>
    <w:rsid w:val="00FD565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466B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4446F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74446F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4446F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4446F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4446F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4005C"/>
    <w:rsid w:val="00275742"/>
    <w:rsid w:val="002D0B29"/>
    <w:rsid w:val="00313E00"/>
    <w:rsid w:val="0074446F"/>
    <w:rsid w:val="00763FFF"/>
    <w:rsid w:val="00B35328"/>
    <w:rsid w:val="00B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Discussion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3</b:RefOrder>
  </b:Source>
  <b:Source>
    <b:Tag>Eli18</b:Tag>
    <b:SourceType>JournalArticle</b:SourceType>
    <b:Guid>{A684C825-08FC-4711-BF12-4FF51DCD3D45}</b:Guid>
    <b:Year>2018</b:Year>
    <b:Author>
      <b:Author>
        <b:NameList>
          <b:Person>
            <b:Last>Elizabeth Wiley</b:Last>
            <b:First>Marjorie</b:First>
            <b:Middle>Owens, Jason Trahan</b:Middle>
          </b:Person>
        </b:NameList>
      </b:Author>
    </b:Author>
    <b:JournalName>WFAA</b:JournalNam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92EAA4-2408-4D0F-98A6-74EFEC1E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Zack Gold</dc:creator>
  <cp:keywords/>
  <dc:description/>
  <cp:lastModifiedBy>Morning</cp:lastModifiedBy>
  <cp:revision>3</cp:revision>
  <dcterms:created xsi:type="dcterms:W3CDTF">2019-10-25T10:50:00Z</dcterms:created>
  <dcterms:modified xsi:type="dcterms:W3CDTF">2019-10-25T11:26:00Z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id="sAY9aIdF"/&gt;&lt;style id="http://www.zotero.org/styles/apa" locale="en-US" hasBibliography="1" bibliographyStyleHasBeenSet="1"/&gt;&lt;prefs&gt;&lt;pref name="fieldType" value="Field"/&gt;&lt;/prefs&gt;&lt;/data&gt;</vt:lpwstr>
  </property>
</Properties>
</file>