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8A0691">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EF23C6">
            <w:t>Discussion Board</w:t>
          </w:r>
        </w:sdtContent>
      </w:sdt>
    </w:p>
    <w:p w:rsidR="00B823AA" w:rsidRDefault="00A2075C" w:rsidP="00B823AA">
      <w:pPr>
        <w:pStyle w:val="Title2"/>
      </w:pPr>
      <w:r>
        <w:t>Javier</w:t>
      </w:r>
    </w:p>
    <w:p w:rsidR="00E81978" w:rsidRDefault="008A0691"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rsidR="00E81978" w:rsidRDefault="008A0691">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rsidR="00E81978" w:rsidRDefault="008A0691" w:rsidP="00B823AA">
          <w:pPr>
            <w:pStyle w:val="Title2"/>
          </w:pPr>
          <w:r>
            <w:t>[Include any grant/funding information and a complete correspondence address.]</w:t>
          </w:r>
        </w:p>
      </w:sdtContent>
    </w:sdt>
    <w:p w:rsidR="00E81978" w:rsidRDefault="008A0691" w:rsidP="00870417">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EF23C6">
            <w:t>Discussion Board</w:t>
          </w:r>
        </w:sdtContent>
      </w:sdt>
    </w:p>
    <w:p w:rsidR="00E81978" w:rsidRDefault="008A0691">
      <w:pPr>
        <w:pStyle w:val="Heading1"/>
      </w:pPr>
      <w:r>
        <w:t xml:space="preserve">Response one </w:t>
      </w:r>
    </w:p>
    <w:p w:rsidR="00E81978" w:rsidRDefault="008A0691" w:rsidP="00817133">
      <w:bookmarkStart w:id="0" w:name="_GoBack"/>
      <w:r>
        <w:t xml:space="preserve">Every </w:t>
      </w:r>
      <w:r>
        <w:t>subject has its significance</w:t>
      </w:r>
      <w:r w:rsidR="00810D8B">
        <w:t>, while</w:t>
      </w:r>
      <w:r>
        <w:t xml:space="preserve"> each student expects to learn more, acquire skills</w:t>
      </w:r>
      <w:r w:rsidR="00810D8B">
        <w:t>,</w:t>
      </w:r>
      <w:r>
        <w:t xml:space="preserve"> and gain knowledge from what</w:t>
      </w:r>
      <w:r w:rsidR="00810D8B">
        <w:t xml:space="preserve"> she is subjected to study. </w:t>
      </w:r>
      <w:r w:rsidR="00675542">
        <w:t>In response to Javier</w:t>
      </w:r>
      <w:r w:rsidR="00507D10">
        <w:t>’s discussion, this course helped</w:t>
      </w:r>
      <w:r w:rsidR="00166CB7">
        <w:t xml:space="preserve"> to meet her expectations. </w:t>
      </w:r>
      <w:r w:rsidR="00A32A5C">
        <w:t xml:space="preserve">Javier's concerns and expectations were that she should not be limited to only theories, she needs </w:t>
      </w:r>
      <w:r w:rsidR="00817133">
        <w:t>exposure</w:t>
      </w:r>
      <w:r w:rsidR="00E030BD">
        <w:t xml:space="preserve"> to business market to analyze top market requirements</w:t>
      </w:r>
      <w:r w:rsidR="00817133">
        <w:t>,</w:t>
      </w:r>
      <w:r w:rsidR="00E030BD">
        <w:t xml:space="preserve"> so that</w:t>
      </w:r>
      <w:r w:rsidR="00817133">
        <w:t>,</w:t>
      </w:r>
      <w:r w:rsidR="00E030BD">
        <w:t xml:space="preserve"> she may be able to learn and acquire skills accordingly.</w:t>
      </w:r>
    </w:p>
    <w:p w:rsidR="00D57155" w:rsidRPr="00D57155" w:rsidRDefault="008A0691" w:rsidP="00AB372E">
      <w:r>
        <w:t>In response to Javier</w:t>
      </w:r>
      <w:r w:rsidR="005E649B">
        <w:t xml:space="preserve">, best thing about this course is that, this has let her get exposure with </w:t>
      </w:r>
      <w:r w:rsidR="007C0892">
        <w:t>business-oriented</w:t>
      </w:r>
      <w:r w:rsidR="00B139AC">
        <w:t xml:space="preserve"> professionals, </w:t>
      </w:r>
      <w:r w:rsidR="007C0BC1">
        <w:t>advisors,</w:t>
      </w:r>
      <w:r w:rsidR="00B139AC">
        <w:t xml:space="preserve"> and peers, above all meeting people having similar thoughts lets you </w:t>
      </w:r>
      <w:r w:rsidR="00D8339F">
        <w:t xml:space="preserve">enter into networking opportunities. </w:t>
      </w:r>
      <w:r w:rsidR="0091681A">
        <w:t xml:space="preserve">This course has also enabled Javier, to </w:t>
      </w:r>
      <w:r w:rsidR="007C0BC1">
        <w:t>improve</w:t>
      </w:r>
      <w:r w:rsidR="0091681A">
        <w:t xml:space="preserve"> team working skills</w:t>
      </w:r>
      <w:r w:rsidR="007C0892">
        <w:t xml:space="preserve"> and she can work with teams as a member and sometimes as a leader effectively.</w:t>
      </w:r>
      <w:r w:rsidR="0091681A">
        <w:t xml:space="preserve"> </w:t>
      </w:r>
      <w:r w:rsidR="007C0BC1">
        <w:t xml:space="preserve">Individuals may boost their communication and understanding skills by working with </w:t>
      </w:r>
      <w:r w:rsidR="00621B00">
        <w:t xml:space="preserve">groups. </w:t>
      </w:r>
    </w:p>
    <w:p w:rsidR="00E81978" w:rsidRDefault="008A0691">
      <w:pPr>
        <w:pStyle w:val="NoSpacing"/>
      </w:pPr>
      <w:r>
        <w:t xml:space="preserve">In response to Javier, she suggests that, there should be internship </w:t>
      </w:r>
      <w:r w:rsidR="00776CE6">
        <w:t xml:space="preserve">opportunities rather than giving students homework and assignments. Internships will help students to analyze their skills and </w:t>
      </w:r>
      <w:r w:rsidR="008208B6">
        <w:t xml:space="preserve">they will be able to improve and acquire </w:t>
      </w:r>
      <w:r w:rsidR="00BA02FA">
        <w:t xml:space="preserve">new skills. </w:t>
      </w:r>
      <w:r w:rsidR="00ED43AD">
        <w:t>This course may improve, if it is not limited to class boundaries, there has to be some practical work to ensure</w:t>
      </w:r>
      <w:r w:rsidR="002A1D5E">
        <w:t xml:space="preserve"> quality in</w:t>
      </w:r>
      <w:r w:rsidR="00904AFC">
        <w:t xml:space="preserve"> </w:t>
      </w:r>
      <w:r w:rsidR="008C39C3">
        <w:t>learning.</w:t>
      </w:r>
    </w:p>
    <w:p w:rsidR="00355DCA" w:rsidRDefault="008A0691" w:rsidP="007E7567">
      <w:pPr>
        <w:pStyle w:val="Heading1"/>
      </w:pPr>
      <w:r>
        <w:t xml:space="preserve">Pygmalion </w:t>
      </w:r>
      <w:r w:rsidR="00033C57">
        <w:t xml:space="preserve">Effect </w:t>
      </w:r>
    </w:p>
    <w:p w:rsidR="00033C57" w:rsidRDefault="008A0691" w:rsidP="00426E3E">
      <w:r>
        <w:t xml:space="preserve">A teacher may influence their students </w:t>
      </w:r>
      <w:r w:rsidR="002D5704">
        <w:t>to meet their expectations during learning processes. Pygmalion effect is a positive</w:t>
      </w:r>
      <w:r w:rsidR="00E86729">
        <w:t xml:space="preserve"> effect</w:t>
      </w:r>
      <w:r w:rsidR="00426E3E">
        <w:t>,</w:t>
      </w:r>
      <w:r w:rsidR="00E86729">
        <w:t xml:space="preserve"> which increases teachers' expectations from their students</w:t>
      </w:r>
      <w:r w:rsidR="00C62D40">
        <w:t xml:space="preserve"> which develops their performances, </w:t>
      </w:r>
      <w:r w:rsidR="0000766A">
        <w:t xml:space="preserve">so </w:t>
      </w:r>
      <w:r w:rsidR="00C62D40">
        <w:t xml:space="preserve">for </w:t>
      </w:r>
      <w:r w:rsidR="0000766A">
        <w:t>teachers and students, this is a self-fulfilling prophecy</w:t>
      </w:r>
      <w:r w:rsidR="00F3419C">
        <w:t xml:space="preserve"> </w:t>
      </w:r>
      <w:r w:rsidR="00F3419C">
        <w:fldChar w:fldCharType="begin"/>
      </w:r>
      <w:r w:rsidR="00F3419C">
        <w:instrText xml:space="preserve"> ADDIN ZOTERO_ITEM CSL_CITATION {"citationID":"iD3YwXKP","properties":{"formattedCitation":"(Niari et al., 2016)","plainCitation":"(Niari et al., 2016)","noteIndex":0},"citationItems":[{"id":405,"uris":["http://zotero.org/users/local/smYQhi21/items/LRKAY522"],"uri":["http://zotero.org/users/local/smYQhi21/items/LRKAY522"],"itemData":{"id":405,"type":"article-journal","title":"The Pygmalion Effect in Distance Learning: A Case Study at the Hellenic Open University","container-title":"European Journal of Open, Distance and E-Learning","volume":"19","source":"ResearchGate","abstract":"The Pygmalion Effect is the positive form of self-fulfilling prophecy and shows how teacher expectations influence student performance. According to this phenomenon, higher expectations can lead to an increase in performance. In this research qualitative methodology was adopted both in data collection, and in analysis, in order to investigate the impact of the Pygmalion Effect in distance adult learning. Observation was held in two Contact Sessions of the Postgraduate Module for Open and Distance Education (EKP65) of the School of Humanities at the Hellenic Open University (HOU). Also, 22 interviews were conducted, 6 with Tutors/Advisors and 16 with students of the same Postgraduate Module. The data analysis indicates that both Tutors/Advisors and postgraduate students shape form their expectations based on the behaviour as reflected in their first contact (telephone contact, face-to-face contact, written contact through the CV). Expectations originally are positive, though this could change due to mismatched following behaviour. Tutor’s expectations are expressed in verbal and non-verbal ways both in written and face-to-face communication. However, it is the non-verbal behaviour - and mainly the encouragement and the support towards the students - that influences their positive mood and attitude towards the learning object and distance learning itself. In conclusion, not to reject the educational trend according to which the adult learner has developed selfmotivation, we accept that Tutor’s expectations reflected in encouragement and support towards the student may influence the learning process.","DOI":"10.1515/eurodl-2016-0003","title-short":"The Pygmalion Effect in Distance Learning","journalAbbreviation":"European Journal of Open, Distance and E-Learning","author":[{"family":"Niari","given":"Maria"},{"family":"Manousou","given":"Evaggelia"},{"family":"Lionarakis","given":"Antonis"}],"issued":{"date-parts":[["2016",7,26]]}}}],"schema":"https://github.com/citation-style-language/schema/raw/master/csl-citation.json"} </w:instrText>
      </w:r>
      <w:r w:rsidR="00F3419C">
        <w:fldChar w:fldCharType="separate"/>
      </w:r>
      <w:r w:rsidR="00F3419C" w:rsidRPr="00904AFC">
        <w:rPr>
          <w:rFonts w:ascii="Times New Roman" w:hAnsi="Times New Roman" w:cs="Times New Roman"/>
        </w:rPr>
        <w:t>(Niari et al., 2016)</w:t>
      </w:r>
      <w:r w:rsidR="00F3419C">
        <w:fldChar w:fldCharType="end"/>
      </w:r>
      <w:r w:rsidR="0000766A">
        <w:t xml:space="preserve">. </w:t>
      </w:r>
      <w:r w:rsidR="00C62D40">
        <w:t xml:space="preserve"> </w:t>
      </w:r>
    </w:p>
    <w:p w:rsidR="008C39C3" w:rsidRDefault="008A0691" w:rsidP="008C39C3">
      <w:pPr>
        <w:pStyle w:val="Heading1"/>
      </w:pPr>
      <w:r>
        <w:lastRenderedPageBreak/>
        <w:t>First</w:t>
      </w:r>
      <w:r w:rsidR="00E51C98">
        <w:t xml:space="preserve"> Mover Advantage </w:t>
      </w:r>
    </w:p>
    <w:p w:rsidR="00E51C98" w:rsidRPr="00E51C98" w:rsidRDefault="008A0691" w:rsidP="00E51C98">
      <w:r>
        <w:t>A first-mover advantage is a provision, which helps to gain</w:t>
      </w:r>
      <w:r w:rsidR="00A822C7">
        <w:t xml:space="preserve"> a competitive advantage in the market, being in first position and helps to introduce new brands </w:t>
      </w:r>
      <w:r w:rsidR="00DB696F">
        <w:t>and services</w:t>
      </w:r>
      <w:r w:rsidR="00B7406F">
        <w:t xml:space="preserve"> </w:t>
      </w:r>
      <w:r w:rsidR="00B7406F">
        <w:fldChar w:fldCharType="begin"/>
      </w:r>
      <w:r w:rsidR="00B7406F">
        <w:instrText xml:space="preserve"> ADDIN ZOTERO_ITEM CSL_CITATION {"citationID":"VfVGVnAD","properties":{"formattedCitation":"(Sammut-Bonnici &amp; Channon, 2015)","plainCitation":"(Sammut-Bonnici &amp; Channon, 2015)","noteIndex":0},"citationItems":[{"id":408,"uris":["http://zotero.org/users/local/smYQhi21/items/32TVABAI"],"uri":["http://zotero.org/users/local/smYQhi21/items/32TVABAI"],"itemData":{"id":408,"type":"chapter","title":"First Mover Advantage","source":"ResearchGate","abstract":"First mover advantage is derived from a firm's ability to gain early entry into a new market. Significant payoffs exist when barriers to entry are created. In the early days of the PC industry, Microsoft created high barriers to entry by collaborating with Intel. Today, Microsoft still holds a dominant position with 90% market share of the PC operating system market. Lockheed Martin's early technological and partnership advantage with Russian aerospace companies allowed it to secure a leadership position in the global market for commercial space launches, servicing the satellite industry. The timing of strategic moves into international markets may be critical for success as a result of the positive advantages accruing to first movers. The set of advantages to be gained are costs advantages, preemption of geographic space, technological advantages, differentiation advantages, and political advantages. For first mover advantage, to materialize, it is necessary to create high barriers for competitors to enter the market, be the first to introduce new systems and to, exploit first mover advantage to achieve customer loyalty. There is no first mover advantage where there are low or zero barriers to entry by competitors. Indeed, it may involve much greater risk than being an early follower.","ISBN":"978-1-118-78531-7","note":"DOI: 10.1002/9781118785317.weom060085","author":[{"family":"Sammut-Bonnici","given":"Tanya"},{"family":"Channon","given":"Derek"}],"issued":{"date-parts":[["2015",1,21]]}}}],"schema":"https://github.com/citation-style-language/schema/raw/master/csl-citation.json"} </w:instrText>
      </w:r>
      <w:r w:rsidR="00B7406F">
        <w:fldChar w:fldCharType="separate"/>
      </w:r>
      <w:r w:rsidR="00B7406F" w:rsidRPr="00B7406F">
        <w:rPr>
          <w:rFonts w:ascii="Times New Roman" w:hAnsi="Times New Roman" w:cs="Times New Roman"/>
        </w:rPr>
        <w:t>(Sammut-Bonnici &amp; Channon, 2015)</w:t>
      </w:r>
      <w:r w:rsidR="00B7406F">
        <w:fldChar w:fldCharType="end"/>
      </w:r>
      <w:r w:rsidR="00DB696F">
        <w:t xml:space="preserve">. This benefits firms and companies for </w:t>
      </w:r>
      <w:r w:rsidR="00EF43A4">
        <w:t>establishing</w:t>
      </w:r>
      <w:r w:rsidR="00DB696F">
        <w:t xml:space="preserve"> strong branding </w:t>
      </w:r>
      <w:r w:rsidR="00EF43A4">
        <w:t>recognition due to which customer loyalty increases as compared to other companies competing in market.</w:t>
      </w:r>
    </w:p>
    <w:bookmarkEnd w:id="0" w:displacedByCustomXml="next"/>
    <w:sdt>
      <w:sdtPr>
        <w:rPr>
          <w:rFonts w:asciiTheme="minorHAnsi" w:eastAsiaTheme="minorEastAsia" w:hAnsiTheme="minorHAnsi" w:cstheme="minorBidi"/>
        </w:rPr>
        <w:id w:val="62297111"/>
        <w:docPartObj>
          <w:docPartGallery w:val="Bibliographies"/>
          <w:docPartUnique/>
        </w:docPartObj>
      </w:sdtPr>
      <w:sdtEndPr/>
      <w:sdtContent>
        <w:p w:rsidR="00E81978" w:rsidRDefault="008A0691">
          <w:pPr>
            <w:pStyle w:val="SectionTitle"/>
          </w:pPr>
          <w:r>
            <w:t>References</w:t>
          </w:r>
        </w:p>
        <w:p w:rsidR="00B7406F" w:rsidRPr="00B7406F" w:rsidRDefault="008A0691" w:rsidP="00B7406F">
          <w:pPr>
            <w:pStyle w:val="Bibliography"/>
            <w:rPr>
              <w:rFonts w:ascii="Times New Roman" w:hAnsi="Times New Roman" w:cs="Times New Roman"/>
            </w:rPr>
          </w:pPr>
          <w:r>
            <w:fldChar w:fldCharType="begin"/>
          </w:r>
          <w:r>
            <w:instrText xml:space="preserve"> ADDIN ZOTERO_BIBL {"uncited":[],"omitted":[],"custom":[]} CSL_BIBLIOGRA</w:instrText>
          </w:r>
          <w:r>
            <w:instrText xml:space="preserve">PHY </w:instrText>
          </w:r>
          <w:r>
            <w:fldChar w:fldCharType="separate"/>
          </w:r>
          <w:r w:rsidRPr="00B7406F">
            <w:rPr>
              <w:rFonts w:ascii="Times New Roman" w:hAnsi="Times New Roman" w:cs="Times New Roman"/>
            </w:rPr>
            <w:t xml:space="preserve">Niari, M., Manousou, E., &amp; Lionarakis, A. (2016). The Pygmalion Effect in Distance Learning: A Case Study at the Hellenic Open University. </w:t>
          </w:r>
          <w:r w:rsidRPr="00B7406F">
            <w:rPr>
              <w:rFonts w:ascii="Times New Roman" w:hAnsi="Times New Roman" w:cs="Times New Roman"/>
              <w:i/>
              <w:iCs/>
            </w:rPr>
            <w:t>European Journal of Open, Distance and E-Learning</w:t>
          </w:r>
          <w:r w:rsidRPr="00B7406F">
            <w:rPr>
              <w:rFonts w:ascii="Times New Roman" w:hAnsi="Times New Roman" w:cs="Times New Roman"/>
            </w:rPr>
            <w:t xml:space="preserve">, </w:t>
          </w:r>
          <w:r w:rsidRPr="00B7406F">
            <w:rPr>
              <w:rFonts w:ascii="Times New Roman" w:hAnsi="Times New Roman" w:cs="Times New Roman"/>
              <w:i/>
              <w:iCs/>
            </w:rPr>
            <w:t>19</w:t>
          </w:r>
          <w:r w:rsidRPr="00B7406F">
            <w:rPr>
              <w:rFonts w:ascii="Times New Roman" w:hAnsi="Times New Roman" w:cs="Times New Roman"/>
            </w:rPr>
            <w:t>. https://doi.org/10.1515/eurodl-2016-0003</w:t>
          </w:r>
        </w:p>
        <w:p w:rsidR="00B7406F" w:rsidRPr="00B7406F" w:rsidRDefault="008A0691" w:rsidP="00B7406F">
          <w:pPr>
            <w:pStyle w:val="Bibliography"/>
            <w:rPr>
              <w:rFonts w:ascii="Times New Roman" w:hAnsi="Times New Roman" w:cs="Times New Roman"/>
            </w:rPr>
          </w:pPr>
          <w:r w:rsidRPr="00B7406F">
            <w:rPr>
              <w:rFonts w:ascii="Times New Roman" w:hAnsi="Times New Roman" w:cs="Times New Roman"/>
            </w:rPr>
            <w:t>Sammut-Bonnici, T</w:t>
          </w:r>
          <w:r w:rsidRPr="00B7406F">
            <w:rPr>
              <w:rFonts w:ascii="Times New Roman" w:hAnsi="Times New Roman" w:cs="Times New Roman"/>
            </w:rPr>
            <w:t xml:space="preserve">., &amp; Channon, D. (2015). </w:t>
          </w:r>
          <w:r w:rsidRPr="00B7406F">
            <w:rPr>
              <w:rFonts w:ascii="Times New Roman" w:hAnsi="Times New Roman" w:cs="Times New Roman"/>
              <w:i/>
              <w:iCs/>
            </w:rPr>
            <w:t>First Mover Advantage</w:t>
          </w:r>
          <w:r w:rsidRPr="00B7406F">
            <w:rPr>
              <w:rFonts w:ascii="Times New Roman" w:hAnsi="Times New Roman" w:cs="Times New Roman"/>
            </w:rPr>
            <w:t>. https://doi.org/10.1002/9781118785317.weom060085</w:t>
          </w:r>
        </w:p>
        <w:p w:rsidR="00D53A7B" w:rsidRDefault="008A0691" w:rsidP="00D53A7B">
          <w:pPr>
            <w:pStyle w:val="Bibliography"/>
            <w:ind w:left="0" w:firstLine="0"/>
          </w:pPr>
          <w:r>
            <w:fldChar w:fldCharType="end"/>
          </w:r>
        </w:p>
        <w:p w:rsidR="00E81978" w:rsidRDefault="008A0691" w:rsidP="00D53A7B">
          <w:pPr>
            <w:pStyle w:val="Bibliography"/>
            <w:ind w:left="0" w:firstLine="0"/>
            <w:rPr>
              <w:noProof/>
            </w:rPr>
          </w:pPr>
        </w:p>
      </w:sdtContent>
    </w:sdt>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0691" w:rsidRDefault="008A0691">
      <w:pPr>
        <w:spacing w:line="240" w:lineRule="auto"/>
      </w:pPr>
      <w:r>
        <w:separator/>
      </w:r>
    </w:p>
  </w:endnote>
  <w:endnote w:type="continuationSeparator" w:id="0">
    <w:p w:rsidR="008A0691" w:rsidRDefault="008A06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0691" w:rsidRDefault="008A0691">
      <w:pPr>
        <w:spacing w:line="240" w:lineRule="auto"/>
      </w:pPr>
      <w:r>
        <w:separator/>
      </w:r>
    </w:p>
  </w:footnote>
  <w:footnote w:type="continuationSeparator" w:id="0">
    <w:p w:rsidR="008A0691" w:rsidRDefault="008A06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8A0691">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EF23C6">
          <w:rPr>
            <w:rStyle w:val="Strong"/>
          </w:rPr>
          <w:t xml:space="preserve">business and management </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50272">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8A0691">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EF23C6">
          <w:rPr>
            <w:rStyle w:val="Strong"/>
          </w:rPr>
          <w:t xml:space="preserve">business and management </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5027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LAwNjYysjQ0tDQ1MjNR0lEKTi0uzszPAykwqgUA2A5UCywAAAA="/>
  </w:docVars>
  <w:rsids>
    <w:rsidRoot w:val="00C50272"/>
    <w:rsid w:val="0000612B"/>
    <w:rsid w:val="0000766A"/>
    <w:rsid w:val="00033C57"/>
    <w:rsid w:val="00071C79"/>
    <w:rsid w:val="00086967"/>
    <w:rsid w:val="000B5CEE"/>
    <w:rsid w:val="000D3F41"/>
    <w:rsid w:val="00166CB7"/>
    <w:rsid w:val="00277C34"/>
    <w:rsid w:val="002A1D5E"/>
    <w:rsid w:val="002D5704"/>
    <w:rsid w:val="0034153E"/>
    <w:rsid w:val="00355DCA"/>
    <w:rsid w:val="00426E3E"/>
    <w:rsid w:val="00507D10"/>
    <w:rsid w:val="0051739B"/>
    <w:rsid w:val="00544316"/>
    <w:rsid w:val="00551A02"/>
    <w:rsid w:val="005534FA"/>
    <w:rsid w:val="005D3A03"/>
    <w:rsid w:val="005E649B"/>
    <w:rsid w:val="00621B00"/>
    <w:rsid w:val="00675542"/>
    <w:rsid w:val="00776CE6"/>
    <w:rsid w:val="007C0892"/>
    <w:rsid w:val="007C0BC1"/>
    <w:rsid w:val="007E7567"/>
    <w:rsid w:val="008002C0"/>
    <w:rsid w:val="00810D8B"/>
    <w:rsid w:val="00817133"/>
    <w:rsid w:val="008208B6"/>
    <w:rsid w:val="00870417"/>
    <w:rsid w:val="008A0691"/>
    <w:rsid w:val="008C39C3"/>
    <w:rsid w:val="008C5323"/>
    <w:rsid w:val="00904AFC"/>
    <w:rsid w:val="0091681A"/>
    <w:rsid w:val="009A6A3B"/>
    <w:rsid w:val="009E6F03"/>
    <w:rsid w:val="00A2075C"/>
    <w:rsid w:val="00A32A5C"/>
    <w:rsid w:val="00A822C7"/>
    <w:rsid w:val="00AB372E"/>
    <w:rsid w:val="00B139AC"/>
    <w:rsid w:val="00B7406F"/>
    <w:rsid w:val="00B823AA"/>
    <w:rsid w:val="00BA02FA"/>
    <w:rsid w:val="00BA45DB"/>
    <w:rsid w:val="00BF4184"/>
    <w:rsid w:val="00C0601E"/>
    <w:rsid w:val="00C31D30"/>
    <w:rsid w:val="00C50272"/>
    <w:rsid w:val="00C62D40"/>
    <w:rsid w:val="00C73F57"/>
    <w:rsid w:val="00CD6E39"/>
    <w:rsid w:val="00CF6E91"/>
    <w:rsid w:val="00D53A7B"/>
    <w:rsid w:val="00D57155"/>
    <w:rsid w:val="00D8339F"/>
    <w:rsid w:val="00D85B68"/>
    <w:rsid w:val="00DA6CEE"/>
    <w:rsid w:val="00DB696F"/>
    <w:rsid w:val="00E030BD"/>
    <w:rsid w:val="00E51C98"/>
    <w:rsid w:val="00E6004D"/>
    <w:rsid w:val="00E81978"/>
    <w:rsid w:val="00E86729"/>
    <w:rsid w:val="00ED3BFE"/>
    <w:rsid w:val="00ED43AD"/>
    <w:rsid w:val="00EF23C6"/>
    <w:rsid w:val="00EF43A4"/>
    <w:rsid w:val="00F3419C"/>
    <w:rsid w:val="00F379B7"/>
    <w:rsid w:val="00F47645"/>
    <w:rsid w:val="00F525FA"/>
    <w:rsid w:val="00F76E31"/>
    <w:rsid w:val="00FC60A3"/>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B383A"/>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544316" w:rsidRDefault="000D4222">
          <w:pPr>
            <w:pStyle w:val="D3BD5DE33E9A47B08EF27DF8F6861BDB"/>
          </w:pPr>
          <w:r>
            <w:t>[Title Here, up to 12 Words, on One to Two Lines]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544316" w:rsidRDefault="000D4222">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544316" w:rsidRDefault="000D4222">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544316" w:rsidRDefault="000D4222">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544316" w:rsidRDefault="000D4222">
          <w:pPr>
            <w:pStyle w:val="8D3A61C8A0284D089F24570D8BD25FEB"/>
          </w:pPr>
          <w:r>
            <w:t xml:space="preserve">[Title Here, up to 12 </w:t>
          </w:r>
          <w:r>
            <w:t>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544316" w:rsidRDefault="000D4222">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544316" w:rsidRDefault="000D4222">
          <w:pPr>
            <w:pStyle w:val="7A918DA0B38C4BD3A23C697838EC9315"/>
          </w:pPr>
          <w:r>
            <w:t>[Include all figures in their own section, following references (and footnotes and tables, if applicable).  Include a numbered caption for each figure.  Use the Table/Figure style for easy spacing between figure a</w:t>
          </w:r>
          <w:r>
            <w:t>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0D4222"/>
    <w:rsid w:val="00313E00"/>
    <w:rsid w:val="00544316"/>
    <w:rsid w:val="00850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business and management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01E092-CA90-4E2D-AD59-559040FF1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Discussion Board</vt:lpstr>
    </vt:vector>
  </TitlesOfParts>
  <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Board</dc:title>
  <dc:creator>Zack Gold</dc:creator>
  <cp:lastModifiedBy>tashmin ali</cp:lastModifiedBy>
  <cp:revision>2</cp:revision>
  <dcterms:created xsi:type="dcterms:W3CDTF">2019-11-21T20:26:00Z</dcterms:created>
  <dcterms:modified xsi:type="dcterms:W3CDTF">2019-11-21T20:26:00Z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id="vrOsMQCW"/&gt;&lt;style id="http://www.zotero.org/styles/apa" locale="en-US" hasBibliography="1" bibliographyStyleHasBeenSet="1"/&gt;&lt;prefs&gt;&lt;pref name="fieldType" value="Field"/&gt;&lt;/prefs&gt;&lt;/data&gt;</vt:lpwstr>
  </property>
</Properties>
</file>