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0D3B" w14:textId="77777777" w:rsidR="000F5D2F" w:rsidRPr="00A97D17" w:rsidRDefault="000F5D2F" w:rsidP="000F5D2F">
      <w:pPr>
        <w:tabs>
          <w:tab w:val="left" w:pos="90"/>
        </w:tabs>
        <w:spacing w:line="480" w:lineRule="auto"/>
        <w:ind w:firstLine="720"/>
      </w:pPr>
      <w:bookmarkStart w:id="0" w:name="_GoBack"/>
      <w:bookmarkEnd w:id="0"/>
    </w:p>
    <w:p w14:paraId="5C674D0D" w14:textId="77777777" w:rsidR="000F5D2F" w:rsidRPr="00A97D17" w:rsidRDefault="000F5D2F" w:rsidP="000F5D2F">
      <w:pPr>
        <w:tabs>
          <w:tab w:val="left" w:pos="90"/>
        </w:tabs>
        <w:spacing w:line="480" w:lineRule="auto"/>
        <w:ind w:firstLine="720"/>
      </w:pPr>
    </w:p>
    <w:p w14:paraId="0203C38B" w14:textId="77777777" w:rsidR="000F5D2F" w:rsidRPr="00A97D17" w:rsidRDefault="000F5D2F" w:rsidP="000F5D2F">
      <w:pPr>
        <w:tabs>
          <w:tab w:val="left" w:pos="90"/>
        </w:tabs>
        <w:spacing w:line="480" w:lineRule="auto"/>
        <w:ind w:firstLine="720"/>
      </w:pPr>
    </w:p>
    <w:p w14:paraId="65715A79" w14:textId="77777777" w:rsidR="000F5D2F" w:rsidRPr="00A97D17" w:rsidRDefault="000F5D2F" w:rsidP="000F5D2F">
      <w:pPr>
        <w:tabs>
          <w:tab w:val="left" w:pos="90"/>
        </w:tabs>
        <w:spacing w:line="480" w:lineRule="auto"/>
        <w:ind w:firstLine="720"/>
      </w:pPr>
    </w:p>
    <w:p w14:paraId="48A8CFE4" w14:textId="77777777" w:rsidR="000F5D2F" w:rsidRPr="00A97D17" w:rsidRDefault="000F5D2F" w:rsidP="000F5D2F">
      <w:pPr>
        <w:tabs>
          <w:tab w:val="left" w:pos="90"/>
        </w:tabs>
        <w:spacing w:line="480" w:lineRule="auto"/>
        <w:ind w:firstLine="720"/>
      </w:pPr>
    </w:p>
    <w:p w14:paraId="0F3C38F2" w14:textId="77777777" w:rsidR="000F5D2F" w:rsidRPr="00A97D17" w:rsidRDefault="000F5D2F" w:rsidP="000F5D2F">
      <w:pPr>
        <w:tabs>
          <w:tab w:val="left" w:pos="90"/>
        </w:tabs>
        <w:spacing w:line="480" w:lineRule="auto"/>
        <w:ind w:firstLine="720"/>
      </w:pPr>
    </w:p>
    <w:p w14:paraId="14614A99" w14:textId="77777777" w:rsidR="000F5D2F" w:rsidRPr="00A97D17" w:rsidRDefault="000F5D2F" w:rsidP="000F5D2F">
      <w:pPr>
        <w:tabs>
          <w:tab w:val="left" w:pos="90"/>
        </w:tabs>
        <w:spacing w:line="480" w:lineRule="auto"/>
        <w:ind w:firstLine="720"/>
      </w:pPr>
    </w:p>
    <w:p w14:paraId="73778946" w14:textId="77777777" w:rsidR="000F5D2F" w:rsidRPr="00A97D17" w:rsidRDefault="000F5D2F" w:rsidP="000F5D2F">
      <w:pPr>
        <w:tabs>
          <w:tab w:val="left" w:pos="90"/>
        </w:tabs>
        <w:spacing w:line="480" w:lineRule="auto"/>
        <w:ind w:firstLine="720"/>
      </w:pPr>
    </w:p>
    <w:p w14:paraId="4BDA3D63" w14:textId="77777777" w:rsidR="000F5D2F" w:rsidRDefault="00096E8F" w:rsidP="000F5D2F">
      <w:pPr>
        <w:spacing w:line="480" w:lineRule="auto"/>
        <w:jc w:val="center"/>
      </w:pPr>
      <w:r>
        <w:t>Critically Evaluate the Role of Article 7 TEU in EU Enforcement</w:t>
      </w:r>
      <w:r w:rsidRPr="00A97D17">
        <w:t xml:space="preserve"> </w:t>
      </w:r>
    </w:p>
    <w:p w14:paraId="0E71DBA8" w14:textId="77777777" w:rsidR="000F5D2F" w:rsidRPr="00A97D17" w:rsidRDefault="00096E8F" w:rsidP="000F5D2F">
      <w:pPr>
        <w:spacing w:line="480" w:lineRule="auto"/>
        <w:jc w:val="center"/>
      </w:pPr>
      <w:r w:rsidRPr="00A97D17">
        <w:t>[Name of the writer]</w:t>
      </w:r>
    </w:p>
    <w:p w14:paraId="41046398" w14:textId="77777777" w:rsidR="000F5D2F" w:rsidRPr="00A97D17" w:rsidRDefault="00096E8F" w:rsidP="000F5D2F">
      <w:pPr>
        <w:spacing w:line="480" w:lineRule="auto"/>
        <w:jc w:val="center"/>
      </w:pPr>
      <w:r w:rsidRPr="00A97D17">
        <w:t>[Name of the institution]</w:t>
      </w:r>
    </w:p>
    <w:p w14:paraId="606D9476" w14:textId="77777777" w:rsidR="000F5D2F" w:rsidRPr="003878E7" w:rsidRDefault="00096E8F" w:rsidP="00165545">
      <w:pPr>
        <w:spacing w:line="480" w:lineRule="auto"/>
        <w:jc w:val="center"/>
      </w:pPr>
      <w:r w:rsidRPr="00A067C9">
        <w:rPr>
          <w:rFonts w:ascii="Courier New" w:hAnsi="Courier New" w:cs="Courier New"/>
          <w:b/>
        </w:rPr>
        <w:br w:type="page"/>
      </w:r>
      <w:r w:rsidR="00165545" w:rsidRPr="00165545">
        <w:lastRenderedPageBreak/>
        <w:t>Critically Evaluate the Role of Article 7 TEU in EU Enforcement</w:t>
      </w:r>
    </w:p>
    <w:p w14:paraId="66E54F54" w14:textId="77777777" w:rsidR="000F5D2F" w:rsidRDefault="00096E8F" w:rsidP="000F5D2F">
      <w:pPr>
        <w:spacing w:line="480" w:lineRule="auto"/>
        <w:rPr>
          <w:b/>
          <w:i/>
        </w:rPr>
      </w:pPr>
      <w:r>
        <w:rPr>
          <w:b/>
          <w:i/>
        </w:rPr>
        <w:t>Abstract</w:t>
      </w:r>
    </w:p>
    <w:p w14:paraId="062128E7" w14:textId="31B81917" w:rsidR="000F5D2F" w:rsidRPr="003878E7" w:rsidRDefault="00096E8F" w:rsidP="00AB5AC2">
      <w:pPr>
        <w:spacing w:line="480" w:lineRule="auto"/>
      </w:pPr>
      <w:r>
        <w:t xml:space="preserve">The European Union was established on values and morals that were mutual to all the Member States. These values are mainly to ensure that the level of uniformity amid all the Member States </w:t>
      </w:r>
      <w:r w:rsidR="00AB5AC2">
        <w:t>stays intake. It is also ma</w:t>
      </w:r>
      <w:r w:rsidR="004B0528">
        <w:t xml:space="preserve">de sure that </w:t>
      </w:r>
      <w:r w:rsidR="00AB5AC2">
        <w:t>respect for the Member States’</w:t>
      </w:r>
      <w:r>
        <w:t xml:space="preserve"> na</w:t>
      </w:r>
      <w:r w:rsidR="006B0938">
        <w:t xml:space="preserve">tional identities stays </w:t>
      </w:r>
      <w:r w:rsidR="00AB5AC2">
        <w:t>integral as well</w:t>
      </w:r>
      <w:r>
        <w:rPr>
          <w:rStyle w:val="FootnoteReference"/>
        </w:rPr>
        <w:footnoteReference w:id="1"/>
      </w:r>
      <w:r w:rsidR="006B0938">
        <w:t>.</w:t>
      </w:r>
      <w:r w:rsidR="00E84935">
        <w:t xml:space="preserve"> Hence, these values have formed a foundation to assist the advancement of European identity and their integration on the mutual shared trust. Article 7 of the Treaty European Union TEU offers a mechanism to impose the values of the European Un</w:t>
      </w:r>
      <w:r w:rsidR="004B0528">
        <w:t>ion, which are on the basis of</w:t>
      </w:r>
      <w:r w:rsidR="00AB5AC2">
        <w:t xml:space="preserve"> decision made by the council. This is done while </w:t>
      </w:r>
      <w:r w:rsidR="00E84935">
        <w:t>keeping in mind the involvement of the Parliament and Commission</w:t>
      </w:r>
      <w:r>
        <w:rPr>
          <w:rStyle w:val="FootnoteReference"/>
        </w:rPr>
        <w:footnoteReference w:id="2"/>
      </w:r>
      <w:r w:rsidR="00E84935">
        <w:t>. The present tools</w:t>
      </w:r>
      <w:r w:rsidR="00BE5E0F">
        <w:t xml:space="preserve"> are deemed unusable because</w:t>
      </w:r>
      <w:r w:rsidR="004B0528">
        <w:t>,</w:t>
      </w:r>
      <w:r w:rsidR="00BE5E0F">
        <w:t xml:space="preserve"> they require high brink for the sake of a decision in the council. Further, another factor is that Member States’ Political</w:t>
      </w:r>
      <w:r w:rsidR="00AB5AC2">
        <w:t xml:space="preserve"> actors</w:t>
      </w:r>
      <w:r w:rsidR="00BE5E0F">
        <w:t xml:space="preserve"> are not willing to use those tools</w:t>
      </w:r>
      <w:r>
        <w:rPr>
          <w:rStyle w:val="FootnoteReference"/>
        </w:rPr>
        <w:footnoteReference w:id="3"/>
      </w:r>
      <w:r w:rsidR="00BE5E0F">
        <w:t>. There have been different methods proposed by political actors and a</w:t>
      </w:r>
      <w:r w:rsidR="002F136B">
        <w:t>cademics from a new sovereign monitoring body</w:t>
      </w:r>
      <w:r>
        <w:rPr>
          <w:rStyle w:val="FootnoteReference"/>
        </w:rPr>
        <w:footnoteReference w:id="4"/>
      </w:r>
      <w:r w:rsidR="002F136B">
        <w:t xml:space="preserve">. For instance, the Copenhagen Commission, via an extension of the mandate of the European Union Fundamental Rights Agency FRA. Then, to </w:t>
      </w:r>
      <w:r w:rsidR="00204A25">
        <w:t>showcase</w:t>
      </w:r>
      <w:r w:rsidR="002F136B">
        <w:t xml:space="preserve"> the likelihood for European Union EU to hang up national dealings that are under the suspicion of infringing the EU law</w:t>
      </w:r>
      <w:r>
        <w:rPr>
          <w:rStyle w:val="FootnoteReference"/>
        </w:rPr>
        <w:footnoteReference w:id="5"/>
      </w:r>
      <w:r w:rsidR="002F136B">
        <w:t xml:space="preserve">. The commission approved a newer law known as the “Rule of Law Framework” in 2014 which presented a structured dialogue amid the </w:t>
      </w:r>
      <w:r w:rsidR="00AB5AC2">
        <w:t xml:space="preserve">commission and the concerned State </w:t>
      </w:r>
      <w:r w:rsidR="00AB5AC2">
        <w:lastRenderedPageBreak/>
        <w:t>Members</w:t>
      </w:r>
      <w:r>
        <w:rPr>
          <w:rStyle w:val="FootnoteReference"/>
        </w:rPr>
        <w:footnoteReference w:id="6"/>
      </w:r>
      <w:r w:rsidR="002F136B">
        <w:t>. Later in January 2016, the commission made the decision</w:t>
      </w:r>
      <w:r w:rsidR="00126477">
        <w:t xml:space="preserve"> to start such an </w:t>
      </w:r>
      <w:r w:rsidR="002F136B">
        <w:t>assessme</w:t>
      </w:r>
      <w:r w:rsidR="00126477">
        <w:t>nt of the situation in a Member State</w:t>
      </w:r>
      <w:r>
        <w:rPr>
          <w:rStyle w:val="FootnoteReference"/>
        </w:rPr>
        <w:footnoteReference w:id="7"/>
      </w:r>
      <w:r w:rsidR="00126477">
        <w:t xml:space="preserve">. They did this in regards to two Polish laws that were on the management of state TV, radio broadcasters and the </w:t>
      </w:r>
      <w:r w:rsidR="002F136B">
        <w:t xml:space="preserve">powers </w:t>
      </w:r>
      <w:r w:rsidR="00126477">
        <w:t>of the constitutional court</w:t>
      </w:r>
      <w:r>
        <w:rPr>
          <w:rStyle w:val="FootnoteReference"/>
        </w:rPr>
        <w:footnoteReference w:id="8"/>
      </w:r>
      <w:r w:rsidR="00126477">
        <w:t>. T</w:t>
      </w:r>
      <w:r w:rsidR="002F136B">
        <w:t xml:space="preserve">he </w:t>
      </w:r>
      <w:r w:rsidR="00126477">
        <w:t>idea of launching the European fundamental rights policy</w:t>
      </w:r>
      <w:r w:rsidR="004B0528">
        <w:t xml:space="preserve"> cycle in coordination with collaboration of</w:t>
      </w:r>
      <w:r w:rsidR="00126477">
        <w:t xml:space="preserve"> European Member States and the FRA, EU institutions was launched by the European Parliament</w:t>
      </w:r>
      <w:r>
        <w:rPr>
          <w:rStyle w:val="FootnoteReference"/>
        </w:rPr>
        <w:footnoteReference w:id="9"/>
      </w:r>
      <w:r w:rsidR="00126477">
        <w:t>. It came into being as the new Copenhagen mechanism devised to</w:t>
      </w:r>
      <w:r w:rsidR="002F136B">
        <w:t xml:space="preserve"> </w:t>
      </w:r>
      <w:r w:rsidR="00126477">
        <w:t>screen</w:t>
      </w:r>
      <w:r w:rsidR="002F136B">
        <w:t xml:space="preserve"> the </w:t>
      </w:r>
      <w:r w:rsidR="00126477">
        <w:t xml:space="preserve">condition in the Member States. Currently, Justice Committee and </w:t>
      </w:r>
      <w:r w:rsidR="002F136B">
        <w:t>P</w:t>
      </w:r>
      <w:r w:rsidR="00126477">
        <w:t xml:space="preserve">arliament's Civil Liberties </w:t>
      </w:r>
      <w:r w:rsidR="002F136B">
        <w:t xml:space="preserve">is </w:t>
      </w:r>
      <w:r w:rsidR="00126477">
        <w:t xml:space="preserve">conscripting a legislative own-initiative report on the basis of </w:t>
      </w:r>
      <w:r w:rsidR="002F136B">
        <w:t>EU mechanism</w:t>
      </w:r>
      <w:r w:rsidR="00126477">
        <w:t xml:space="preserve"> on the rule of law, </w:t>
      </w:r>
      <w:r w:rsidR="00204A25">
        <w:t>fundamental rights</w:t>
      </w:r>
      <w:r w:rsidR="002F136B">
        <w:t>, and</w:t>
      </w:r>
      <w:r w:rsidR="00204A25">
        <w:t xml:space="preserve"> democracy</w:t>
      </w:r>
      <w:r w:rsidR="002F136B">
        <w:t xml:space="preserve">, </w:t>
      </w:r>
      <w:r w:rsidR="00126477">
        <w:t>depending on</w:t>
      </w:r>
      <w:r w:rsidR="002F136B">
        <w:t xml:space="preserve"> </w:t>
      </w:r>
      <w:r w:rsidR="00126477">
        <w:t>shared</w:t>
      </w:r>
      <w:r w:rsidR="002F136B">
        <w:t xml:space="preserve"> and </w:t>
      </w:r>
      <w:r w:rsidR="00126477">
        <w:t>impartial</w:t>
      </w:r>
      <w:r w:rsidR="002F136B">
        <w:t xml:space="preserve"> </w:t>
      </w:r>
      <w:r w:rsidR="00126477">
        <w:t>pointers</w:t>
      </w:r>
      <w:r>
        <w:rPr>
          <w:rStyle w:val="FootnoteReference"/>
        </w:rPr>
        <w:footnoteReference w:id="10"/>
      </w:r>
      <w:r w:rsidR="002F136B">
        <w:t>.</w:t>
      </w:r>
      <w:r w:rsidR="002F136B">
        <w:cr/>
      </w:r>
    </w:p>
    <w:p w14:paraId="412AE229" w14:textId="77777777" w:rsidR="000F5D2F" w:rsidRPr="003878E7" w:rsidRDefault="000F5D2F" w:rsidP="000F5D2F">
      <w:pPr>
        <w:tabs>
          <w:tab w:val="left" w:pos="90"/>
        </w:tabs>
        <w:spacing w:line="480" w:lineRule="auto"/>
        <w:ind w:firstLine="720"/>
      </w:pPr>
    </w:p>
    <w:p w14:paraId="25331A3C" w14:textId="77777777" w:rsidR="000F5D2F" w:rsidRDefault="00096E8F" w:rsidP="000F5D2F">
      <w:pPr>
        <w:tabs>
          <w:tab w:val="left" w:pos="90"/>
        </w:tabs>
        <w:spacing w:line="480" w:lineRule="auto"/>
        <w:jc w:val="center"/>
      </w:pPr>
      <w:r w:rsidRPr="003878E7">
        <w:br w:type="page"/>
      </w:r>
      <w:r w:rsidR="00B352D1">
        <w:lastRenderedPageBreak/>
        <w:t xml:space="preserve">Bibliography  </w:t>
      </w:r>
      <w:r>
        <w:t xml:space="preserve"> </w:t>
      </w:r>
    </w:p>
    <w:p w14:paraId="34823362" w14:textId="77777777" w:rsidR="000F5D2F" w:rsidRPr="003878E7" w:rsidRDefault="000F5D2F" w:rsidP="008C57AD"/>
    <w:p w14:paraId="01FA0A4D" w14:textId="77777777" w:rsidR="002A5543" w:rsidRDefault="00096E8F" w:rsidP="002A5543">
      <w:pPr>
        <w:spacing w:line="480" w:lineRule="auto"/>
        <w:ind w:left="720" w:hanging="720"/>
      </w:pPr>
      <w:r w:rsidRPr="00F657D6">
        <w:t>Bartlomiej Krzan, ‘“PLEXIT”?–Poland, the Rule of Law and the (Pre-) Article 7 Procedure’, The End of the Ever Closer Union (Nomos Verlagsgesellschaft mbH &amp; Co KG 2018).</w:t>
      </w:r>
    </w:p>
    <w:p w14:paraId="7069DB53" w14:textId="77777777" w:rsidR="002A5543" w:rsidRDefault="00096E8F" w:rsidP="002A5543">
      <w:pPr>
        <w:spacing w:line="480" w:lineRule="auto"/>
        <w:ind w:left="720" w:hanging="720"/>
      </w:pPr>
      <w:r w:rsidRPr="002A5543">
        <w:t>Göran von Sydow, ‘Trust and Crises in the EU: Exit, Voice and Loyalty’, Trust in the European Union in Challenging Times (Springer 2019).</w:t>
      </w:r>
    </w:p>
    <w:p w14:paraId="280FF791" w14:textId="77777777" w:rsidR="002A5543" w:rsidRDefault="00096E8F" w:rsidP="002A5543">
      <w:pPr>
        <w:spacing w:line="480" w:lineRule="auto"/>
        <w:ind w:left="720" w:hanging="720"/>
      </w:pPr>
      <w:r w:rsidRPr="002A5543">
        <w:t>Matej Avbelj, ‘Pluralism and Systemic Defiance in the European Union’.</w:t>
      </w:r>
    </w:p>
    <w:p w14:paraId="07993C30" w14:textId="77777777" w:rsidR="002A5543" w:rsidRDefault="00096E8F" w:rsidP="002A5543">
      <w:pPr>
        <w:spacing w:line="480" w:lineRule="auto"/>
        <w:ind w:left="720" w:hanging="720"/>
      </w:pPr>
      <w:r w:rsidRPr="002A5543">
        <w:t>Gerda Falkner, ‘A Causal Loop? The Commission’s New Enforcement Approach in the Context of Non-Compliance with EU Law Even after CJEU Judgments’ (2018) 40 Journal of European Integration 769.</w:t>
      </w:r>
    </w:p>
    <w:p w14:paraId="1CA6ADFE" w14:textId="77777777" w:rsidR="002A5543" w:rsidRDefault="00096E8F" w:rsidP="002A5543">
      <w:pPr>
        <w:spacing w:line="480" w:lineRule="auto"/>
        <w:ind w:left="720" w:hanging="720"/>
      </w:pPr>
      <w:r w:rsidRPr="002A5543">
        <w:t>Steven Greer, Janneke Gerards and Rose Slowe, Human Rights in the Council of Europe and the European Union: Achievements, Trends and Challenges, vol 29 (Cambridge University Press 2018).</w:t>
      </w:r>
    </w:p>
    <w:p w14:paraId="416DB7B9" w14:textId="77777777" w:rsidR="002A5543" w:rsidRDefault="00096E8F" w:rsidP="002A5543">
      <w:pPr>
        <w:spacing w:line="480" w:lineRule="auto"/>
      </w:pPr>
      <w:r w:rsidRPr="002A5543">
        <w:t>Dimitry Kochenov, ‘Busting the Myths Nuclear: A Commentary on Article 7 TEU’.</w:t>
      </w:r>
    </w:p>
    <w:p w14:paraId="292E14DE" w14:textId="77777777" w:rsidR="002A5543" w:rsidRDefault="00096E8F" w:rsidP="002A5543">
      <w:pPr>
        <w:spacing w:line="480" w:lineRule="auto"/>
        <w:ind w:left="720" w:hanging="720"/>
      </w:pPr>
      <w:r w:rsidRPr="002A5543">
        <w:t>Michal Ovádek, ‘The Rule of Law in the EU: Many Ways Forward but Only One Way to Stand Still?’ (2018) 40 Journal of European Integration 495.</w:t>
      </w:r>
    </w:p>
    <w:p w14:paraId="67E34843" w14:textId="77777777" w:rsidR="002A5543" w:rsidRDefault="00096E8F" w:rsidP="002A5543">
      <w:pPr>
        <w:spacing w:line="480" w:lineRule="auto"/>
        <w:ind w:left="720" w:hanging="720"/>
      </w:pPr>
      <w:r w:rsidRPr="002A5543">
        <w:t>Dimitry Kochenov and Laurent Pech, ‘Upholding the Rule of Law in the EU: On the Commission’s ‘Pre-Article 7 Procedure’as a Timid Step in the Right Direction’.</w:t>
      </w:r>
    </w:p>
    <w:p w14:paraId="15581459" w14:textId="77777777" w:rsidR="002A5543" w:rsidRDefault="00096E8F" w:rsidP="002A5543">
      <w:pPr>
        <w:spacing w:line="480" w:lineRule="auto"/>
        <w:ind w:left="720" w:hanging="720"/>
      </w:pPr>
      <w:r w:rsidRPr="002A5543">
        <w:t>Michal Ovádek, ‘Book Review: The Enforcement of EU Law and Values: Ensuring Member States’ Compliance, Edited by András Jakab and DimitryKochenov.(Oxford: Oxford University Press, 2017)’ (2018) 55 Common Market Law Review 683.</w:t>
      </w:r>
    </w:p>
    <w:p w14:paraId="6F116449" w14:textId="77777777" w:rsidR="00D329EC" w:rsidRDefault="00096E8F" w:rsidP="002A5543">
      <w:pPr>
        <w:spacing w:line="480" w:lineRule="auto"/>
        <w:ind w:left="720" w:hanging="720"/>
      </w:pPr>
      <w:r w:rsidRPr="00D329EC">
        <w:lastRenderedPageBreak/>
        <w:t>Balazs Fekete, ‘On Article 7 TEU: Context, History, Doctrine and Shortcomings’ [2017] History, Doctrine and Shortcomings (October 30, 2017).</w:t>
      </w:r>
    </w:p>
    <w:p w14:paraId="09412914" w14:textId="77777777" w:rsidR="002A5543" w:rsidRDefault="002A5543" w:rsidP="002A5543">
      <w:pPr>
        <w:spacing w:line="480" w:lineRule="auto"/>
        <w:ind w:left="720" w:hanging="720"/>
      </w:pPr>
    </w:p>
    <w:p w14:paraId="23D18EC1" w14:textId="77777777" w:rsidR="002A5543" w:rsidRDefault="002A5543" w:rsidP="002A5543">
      <w:pPr>
        <w:spacing w:line="480" w:lineRule="auto"/>
        <w:ind w:left="720" w:hanging="720"/>
      </w:pPr>
    </w:p>
    <w:p w14:paraId="395E3537" w14:textId="77777777" w:rsidR="002A5543" w:rsidRDefault="002A5543" w:rsidP="002A5543">
      <w:pPr>
        <w:spacing w:line="480" w:lineRule="auto"/>
      </w:pPr>
    </w:p>
    <w:p w14:paraId="6E2C542C" w14:textId="77777777" w:rsidR="002A5543" w:rsidRDefault="002A5543" w:rsidP="002A5543">
      <w:pPr>
        <w:spacing w:line="480" w:lineRule="auto"/>
        <w:ind w:left="720" w:hanging="720"/>
      </w:pPr>
    </w:p>
    <w:p w14:paraId="35A609FB" w14:textId="77777777" w:rsidR="002A5543" w:rsidRPr="002A5543" w:rsidRDefault="002A5543" w:rsidP="002A5543">
      <w:pPr>
        <w:spacing w:line="480" w:lineRule="auto"/>
        <w:ind w:left="720" w:hanging="720"/>
      </w:pPr>
    </w:p>
    <w:p w14:paraId="3DD9AE89" w14:textId="77777777" w:rsidR="000F5D2F" w:rsidRDefault="000F5D2F" w:rsidP="00B352D1">
      <w:pPr>
        <w:spacing w:line="480" w:lineRule="auto"/>
        <w:ind w:left="720" w:hanging="720"/>
        <w:jc w:val="center"/>
      </w:pPr>
    </w:p>
    <w:p w14:paraId="63099B21" w14:textId="77777777" w:rsidR="009876B9" w:rsidRPr="000F5D2F" w:rsidRDefault="009876B9" w:rsidP="00B352D1">
      <w:pPr>
        <w:ind w:left="720" w:hanging="720"/>
      </w:pPr>
    </w:p>
    <w:sectPr w:rsidR="009876B9" w:rsidRPr="000F5D2F" w:rsidSect="000B7825">
      <w:headerReference w:type="default" r:id="rId8"/>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D36BB" w16cid:durableId="217367D8"/>
  <w16cid:commentId w16cid:paraId="53F3C087" w16cid:durableId="2173687F"/>
  <w16cid:commentId w16cid:paraId="7E6C5259" w16cid:durableId="21736889"/>
  <w16cid:commentId w16cid:paraId="7CCBE30B" w16cid:durableId="217368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A3D4" w14:textId="77777777" w:rsidR="008D6056" w:rsidRDefault="008D6056">
      <w:r>
        <w:separator/>
      </w:r>
    </w:p>
  </w:endnote>
  <w:endnote w:type="continuationSeparator" w:id="0">
    <w:p w14:paraId="49519474" w14:textId="77777777" w:rsidR="008D6056" w:rsidRDefault="008D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3532C" w14:textId="77777777" w:rsidR="008D6056" w:rsidRDefault="008D6056" w:rsidP="00017EF0">
      <w:r>
        <w:separator/>
      </w:r>
    </w:p>
  </w:footnote>
  <w:footnote w:type="continuationSeparator" w:id="0">
    <w:p w14:paraId="59495757" w14:textId="77777777" w:rsidR="008D6056" w:rsidRDefault="008D6056" w:rsidP="00017EF0">
      <w:r>
        <w:continuationSeparator/>
      </w:r>
    </w:p>
  </w:footnote>
  <w:footnote w:id="1">
    <w:p w14:paraId="06AE9315" w14:textId="77777777" w:rsidR="00F657D6" w:rsidRDefault="00096E8F">
      <w:pPr>
        <w:pStyle w:val="FootnoteText"/>
      </w:pPr>
      <w:r>
        <w:rPr>
          <w:rStyle w:val="FootnoteReference"/>
        </w:rPr>
        <w:footnoteRef/>
      </w:r>
      <w:r>
        <w:t xml:space="preserve"> </w:t>
      </w:r>
      <w:r>
        <w:fldChar w:fldCharType="begin"/>
      </w:r>
      <w:r>
        <w:instrText xml:space="preserve"> ADDIN ZOTERO_ITEM CSL_CITATION {"citationID":"RYyktUwr","properties":{"formattedCitation":"Bartlomiej Krzan, \\uc0\\u8216{}\\uc0\\u8220{}PLEXIT\\uc0\\u8221{}?\\uc0\\u8211{}Poland, the Rule of Law and the (Pre-) Article 7 Procedure\\uc0\\u8217{}, {\\i{}The End of the Ever Closer Union} (Nomos Verlagsgesellschaft mbH &amp; Co KG 2018).","plainCitation":"Bartlomiej Krzan, ‘“PLEXIT”?–Poland, the Rule of Law and the (Pre-) Article 7 Procedure’, The End of the Ever Closer Union (Nomos Verlagsgesellschaft mbH &amp; Co KG 2018).","noteIndex":1},"citationItems":[{"id":10,"uris":["http://zotero.org/users/local/b7DLYQym/items/LYMRVET5"],"uri":["http://zotero.org/users/local/b7DLYQym/items/LYMRVET5"],"itemData":{"id":10,"type":"paper-conference","title":"“PLEXIT”?–Poland, the rule of law and the (pre-) Article 7 procedure","container-title":"The End of the Ever Closer Union","publisher":"Nomos Verlagsgesellschaft mbH &amp; Co. KG","page":"143-168","ISBN":"3-8487-4202-0","author":[{"family":"Krzan","given":"Bartlomiej"}],"issued":{"date-parts":[["2018"]]}}}],"schema":"https://github.com/citation-style-language/schema/raw/master/csl-citation.json"} </w:instrText>
      </w:r>
      <w:r>
        <w:fldChar w:fldCharType="separate"/>
      </w:r>
      <w:r w:rsidRPr="00F657D6">
        <w:rPr>
          <w:szCs w:val="24"/>
        </w:rPr>
        <w:t xml:space="preserve">Bartlomiej Krzan, ‘“PLEXIT”?–Poland, the Rule of Law and the (Pre-) Article 7 Procedure’, </w:t>
      </w:r>
      <w:r w:rsidRPr="00F657D6">
        <w:rPr>
          <w:i/>
          <w:iCs/>
          <w:szCs w:val="24"/>
        </w:rPr>
        <w:t>The End of the Ever Closer Union</w:t>
      </w:r>
      <w:r w:rsidRPr="00F657D6">
        <w:rPr>
          <w:szCs w:val="24"/>
        </w:rPr>
        <w:t xml:space="preserve"> (Nomos Verlagsgesellschaft mbH &amp; Co KG 2018).</w:t>
      </w:r>
      <w:r>
        <w:fldChar w:fldCharType="end"/>
      </w:r>
    </w:p>
  </w:footnote>
  <w:footnote w:id="2">
    <w:p w14:paraId="724D42A6"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{"citationID":"A0KhJ4PS","properties":{"formattedCitation":"G\\uc0\\u246{}ran von Sydow, \\uc0\\u8216{}Trust and Crises in the EU: Exit, Voice and Loyalty\\uc0\\u8217{}, {\\i{}Trust in the European Union in Challenging Times} (Springer 2019).","plainCitation":"Göran von Sydow, ‘Trust and Crises in the EU: Exit, Voice and Loyalty’, Trust in the European Union in Challenging Times (Springer 2019).","noteIndex":2},"citationItems":[{"id":11,"uris":["http://zotero.org/users/local/b7DLYQym/items/U4J8D7NR"],"uri":["http://zotero.org/users/local/b7DLYQym/items/U4J8D7NR"],"itemData":{"id":11,"type":"chapter","title":"Trust and Crises in the EU: Exit, Voice and Loyalty","container-title":"Trust in the European Union in Challenging Times","publisher":"Springer","page":"211-234","author":[{"family":"Sydow","given":"Göran","non-dropping-particle":"von"}],"issued":{"date-parts":[["2019"]]}}}],"schema":"https://github.com/citation-style-language/schema/raw/master/csl-citation.json"} </w:instrText>
      </w:r>
      <w:r>
        <w:fldChar w:fldCharType="separate"/>
      </w:r>
      <w:r w:rsidRPr="002A5543">
        <w:rPr>
          <w:szCs w:val="24"/>
        </w:rPr>
        <w:t xml:space="preserve">Göran von Sydow, 'Trust and Crises in the EU: Exit, Voice and Loyalty,' </w:t>
      </w:r>
      <w:r w:rsidRPr="002A5543">
        <w:rPr>
          <w:i/>
          <w:iCs/>
          <w:szCs w:val="24"/>
        </w:rPr>
        <w:t>Trust in the European Union in Challenging Times</w:t>
      </w:r>
      <w:r w:rsidRPr="002A5543">
        <w:rPr>
          <w:szCs w:val="24"/>
        </w:rPr>
        <w:t xml:space="preserve"> (Springer 2019).</w:t>
      </w:r>
      <w:r>
        <w:fldChar w:fldCharType="end"/>
      </w:r>
    </w:p>
  </w:footnote>
  <w:footnote w:id="3">
    <w:p w14:paraId="1902D916" w14:textId="77777777" w:rsidR="00D329EC" w:rsidRDefault="00096E8F">
      <w:pPr>
        <w:pStyle w:val="FootnoteText"/>
      </w:pPr>
      <w:r>
        <w:rPr>
          <w:rStyle w:val="FootnoteReference"/>
        </w:rPr>
        <w:footnoteRef/>
      </w:r>
      <w:r>
        <w:t xml:space="preserve">, </w:t>
      </w:r>
      <w:r>
        <w:fldChar w:fldCharType="begin"/>
      </w:r>
      <w:r>
        <w:instrText xml:space="preserve"> ADDIN ZOTERO_ITEM CSL_CITATION {"citationID":"Cp3S3RwT","properties":{"formattedCitation":"Balazs Fekete, \\uc0\\u8216{}On Article 7 TEU: Context, History, Doctrine and Shortcomings\\uc0\\u8217{} [2017] History, Doctrine and Shortcomings (October 30, 2017).","plainCitation":"Balazs Fekete, ‘On Article 7 TEU: Context, History, Doctrine and Shortcomings’ [2017] History, Doctrine and Shortcomings (October 30, 2017).","noteIndex":3},"citationItems":[{"id":22,"uris":["http://zotero.org/users/local/b7DLYQym/items/ZBFDPD6Z"],"uri":["http://zotero.org/users/local/b7DLYQym/items/ZBFDPD6Z"],"itemData":{"id":22,"type":"article-journal","title":"On Article 7 TEU: Context, History, Doctrine and Shortcomings","container-title":"History, Doctrine and Shortcomings (October 30, 2017)","author":[{"family":"Fekete","given":"Balazs"}],"issued":{"date-parts":[["2017"]]}}}],"schema":"https://github.com/citation-style-language/schema/raw/master/csl-citation.json"} </w:instrText>
      </w:r>
      <w:r>
        <w:fldChar w:fldCharType="separate"/>
      </w:r>
      <w:r w:rsidRPr="00D329EC">
        <w:rPr>
          <w:szCs w:val="24"/>
        </w:rPr>
        <w:t>Balazs Fekete, ‘On Article 7 TEU: Context, History, Doctrine and Shortcomings’ [2017] History, Doctrine and Shortcomings (October 30, 2017).</w:t>
      </w:r>
      <w:r>
        <w:fldChar w:fldCharType="end"/>
      </w:r>
    </w:p>
  </w:footnote>
  <w:footnote w:id="4">
    <w:p w14:paraId="1D4EE15C"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{"citationID":"ZPGyMwSJ","properties":{"formattedCitation":"Matej Avbelj, \\uc0\\u8216{}Pluralism and Systemic Defiance in the European Union\\uc0\\u8217{}.","plainCitation":"Matej Avbelj, ‘Pluralism and Systemic Defiance in the European Union’.","noteIndex":3},"citationItems":[{"id":14,"uris":["http://zotero.org/users/local/b7DLYQym/items/DITVYLJT"],"uri":["http://zotero.org/users/local/b7DLYQym/items/DITVYLJT"],"itemData":{"id":14,"type":"article-journal","title":"Pluralism and systemic defiance in the European Union","author":[{"family":"Avbelj","given":"Matej"}],"issued":{"date-parts":[["2015"]]}}}],"schema":"https://github.com/citation-style-language/schema/raw/master/csl-citation.json"} </w:instrText>
      </w:r>
      <w:r>
        <w:fldChar w:fldCharType="separate"/>
      </w:r>
      <w:r w:rsidRPr="002A5543">
        <w:rPr>
          <w:szCs w:val="24"/>
        </w:rPr>
        <w:t>Matej Avbelj, ‘Pluralism and Systemic Defiance in the European Union.'</w:t>
      </w:r>
      <w:r>
        <w:fldChar w:fldCharType="end"/>
      </w:r>
    </w:p>
  </w:footnote>
  <w:footnote w:id="5">
    <w:p w14:paraId="76283B05"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{"citationID":"jePVBlll","properties":{"formattedCitation":"Gerda Falkner, \\uc0\\u8216{}A Causal Loop? The Commission\\uc0\\u8217{}s New Enforcement Approach in the Context of Non-Compliance with EU Law Even after CJEU Judgments\\uc0\\u8217{} (2018) 40 Journal of European Integration 769.","plainCitation":"Gerda Falkner, ‘A Causal Loop? The Commission’s New Enforcement Approach in the Context of Non-Compliance with EU Law Even after CJEU Judgments’ (2018) 40 Journal of European Integration 769.","noteIndex":4},"citationItems":[{"id":15,"uris":["http://zotero.org/users/local/b7DLYQym/items/6FKKV3D5"],"uri":["http://zotero.org/users/local/b7DLYQym/items/6FKKV3D5"],"itemData":{"id":15,"type":"article-journal","title":"A causal loop? The Commission’s new enforcement approach in the context of non-compliance with EU law even after CJEU judgments","container-title":"Journal of European Integration","page":"769-784","volume":"40","issue":"6","author":[{"family":"Falkner","given":"Gerda"}],"issued":{"date-parts":[["2018"]]}}}],"schema":"https://github.com/citation-style-language/schema/raw/master/csl-citation.json"} </w:instrText>
      </w:r>
      <w:r>
        <w:fldChar w:fldCharType="separate"/>
      </w:r>
      <w:r w:rsidRPr="002A5543">
        <w:rPr>
          <w:szCs w:val="24"/>
        </w:rPr>
        <w:t>Gerda Falkner, ‘A Causal Loop? The Commission’s New Enforcement Approach in the Context of Non-Compliance with EU Law Even after CJEU Judgments’ (2018) 40 Journal of European Integration 769.</w:t>
      </w:r>
      <w:r>
        <w:fldChar w:fldCharType="end"/>
      </w:r>
    </w:p>
  </w:footnote>
  <w:footnote w:id="6">
    <w:p w14:paraId="006D1C4A"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{"citationID":"TzYWGHri","properties":{"formattedCitation":"Steven Greer, Janneke Gerards and Rose Slowe, {\\i{}Human Rights in the Council of Europe and the European Union: Achievements, Trends and Challenges}, vol 29 (Cambridge University Press 2018).","plainCitation":"Steven Greer, Janneke Gerards and Rose Slowe, Human Rights in the Council of Europe and the European Union: Achievements, Trends and Challenges, vol 29 (Cambridge University Press 2018).","noteIndex":5},"citationItems":[{"id":16,"uris":["http://zotero.org/users/local/b7DLYQym/items/PYFNI6YK"],"uri":["http://zotero.org/users/local/b7DLYQym/items/PYFNI6YK"],"itemData":{"id":16,"type":"book","title":"Human Rights in the Council of Europe and the European Union: Achievements, Trends and Challenges","publisher":"Cambridge University Press","volume":"29","ISBN":"1-107-02550-8","author":[{"family":"Greer","given":"Steven"},{"family":"Gerards","given":"Janneke"},{"family":"Slowe","given":"Rose"}],"issued":{"date-parts":[["2018"]]}}}],"schema":"https://github.com/citation-style-language/schema/raw/master/csl-citation.json"} </w:instrText>
      </w:r>
      <w:r>
        <w:fldChar w:fldCharType="separate"/>
      </w:r>
      <w:r w:rsidRPr="002A5543">
        <w:rPr>
          <w:szCs w:val="24"/>
        </w:rPr>
        <w:t xml:space="preserve">Steven Greer, Janneke Gerards and Rose Slowe, </w:t>
      </w:r>
      <w:r w:rsidRPr="002A5543">
        <w:rPr>
          <w:i/>
          <w:iCs/>
          <w:szCs w:val="24"/>
        </w:rPr>
        <w:t>Human Rights in the Council of Europe and the European Union: Achievements, Trends and Challenges</w:t>
      </w:r>
      <w:r w:rsidRPr="002A5543">
        <w:rPr>
          <w:szCs w:val="24"/>
        </w:rPr>
        <w:t>, vol 29 (Cambridge University Press 2018).</w:t>
      </w:r>
      <w:r>
        <w:fldChar w:fldCharType="end"/>
      </w:r>
    </w:p>
  </w:footnote>
  <w:footnote w:id="7">
    <w:p w14:paraId="74E304E4"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{"citationID":"VPIoZwMe","properties":{"formattedCitation":"Dimitry Kochenov, \\uc0\\u8216{}Busting the Myths Nuclear: A Commentary on Article 7 TEU\\uc0\\u8217{}.","plainCitation":"Dimitry Kochenov, ‘Busting the Myths Nuclear: A Commentary on Article 7 TEU’.","noteIndex":6},"citationItems":[{"id":17,"uris":["http://zotero.org/users/local/b7DLYQym/items/TYHVWTL9"],"uri":["http://zotero.org/users/local/b7DLYQym/items/TYHVWTL9"],"itemData":{"id":17,"type":"article-journal","title":"Busting the myths nuclear: A commentary on Article 7 TEU","author":[{"family":"Kochenov","given":"Dimitry"}],"issued":{"date-parts":[["2017"]]}}}],"schema":"https://github.com/citation-style-language/schema/raw/master/csl-citation.json"} </w:instrText>
      </w:r>
      <w:r>
        <w:fldChar w:fldCharType="separate"/>
      </w:r>
      <w:r w:rsidRPr="002A5543">
        <w:rPr>
          <w:szCs w:val="24"/>
        </w:rPr>
        <w:t>Dimitry Kochenov, ‘Busting the Myths Nuclear: A Commentary on Article 7 TEU’.</w:t>
      </w:r>
      <w:r>
        <w:fldChar w:fldCharType="end"/>
      </w:r>
    </w:p>
  </w:footnote>
  <w:footnote w:id="8">
    <w:p w14:paraId="443FA001"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{"citationID":"ic0uB8uC","properties":{"formattedCitation":"Michal Ov\\uc0\\u225{}dek, \\uc0\\u8216{}The Rule of Law in the EU: Many Ways Forward but Only One Way to Stand Still?\\uc0\\u8217{} (2018) 40 Journal of European Integration 495.","plainCitation":"Michal Ovádek, ‘The Rule of Law in the EU: Many Ways Forward but Only One Way to Stand Still?’ (2018) 40 Journal of European Integration 495.","noteIndex":7},"citationItems":[{"id":18,"uris":["http://zotero.org/users/local/b7DLYQym/items/YRGYQBK7"],"uri":["http://zotero.org/users/local/b7DLYQym/items/YRGYQBK7"],"itemData":{"id":18,"type":"article-journal","title":"The rule of law in the EU: many ways forward but only one way to stand still?","container-title":"Journal of European Integration","page":"495-503","volume":"40","issue":"4","author":[{"family":"Ovádek","given":"Michal"}],"issued":{"date-parts":[["2018"]]}}}],"schema":"https://github.com/citation-style-language/schema/raw/master/csl-citation.json"} </w:instrText>
      </w:r>
      <w:r>
        <w:fldChar w:fldCharType="separate"/>
      </w:r>
      <w:r w:rsidRPr="002A5543">
        <w:rPr>
          <w:szCs w:val="24"/>
        </w:rPr>
        <w:t>Michal Ovádek, ‘The Rule of Law in the EU: Many Ways Forward but Only One Way to Stand Still?’ (2018) 40 Journal of European Integration 495.</w:t>
      </w:r>
      <w:r>
        <w:fldChar w:fldCharType="end"/>
      </w:r>
    </w:p>
  </w:footnote>
  <w:footnote w:id="9">
    <w:p w14:paraId="57EA316F"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{"citationID":"ByrMpWOx","properties":{"formattedCitation":"Dimitry Kochenov and Laurent Pech, \\uc0\\u8216{}Upholding the Rule of Law in the EU: On the Commission\\uc0\\u8217{}s \\uc0\\u8216{}Pre-Article 7 Procedure\\uc0\\u8217{}as a Timid Step in the Right Direction\\uc0\\u8217{}.","plainCitation":"Dimitry Kochenov and Laurent Pech, ‘Upholding the Rule of Law in the EU: On the Commission’s ‘Pre-Article 7 Procedure’as a Timid Step in the Right Direction’.","noteIndex":8},"citationItems":[{"id":19,"uris":["http://zotero.org/users/local/b7DLYQym/items/GXKBD4FC"],"uri":["http://zotero.org/users/local/b7DLYQym/items/GXKBD4FC"],"itemData":{"id":19,"type":"article-journal","title":"Upholding the Rule of Law in the EU: On the Commission's ‘Pre-Article 7 Procedure’as a Timid Step in the Right Direction","author":[{"family":"Kochenov","given":"Dimitry"},{"family":"Pech","given":"Laurent"}],"issued":{"date-parts":[["2015"]]}}}],"schema":"https://github.com/citation-style-language/schema/raw/master/csl-citation.json"} </w:instrText>
      </w:r>
      <w:r>
        <w:fldChar w:fldCharType="separate"/>
      </w:r>
      <w:r w:rsidRPr="002A5543">
        <w:rPr>
          <w:szCs w:val="24"/>
        </w:rPr>
        <w:t>Dimitry Kochenov and Laurent Pech, ‘Upholding the Rule of Law in the EU: On the Commission’s ‘Pre-Article 7 Procedure’as a Timid Step in the Right Direction’.</w:t>
      </w:r>
      <w:r>
        <w:fldChar w:fldCharType="end"/>
      </w:r>
    </w:p>
  </w:footnote>
  <w:footnote w:id="10">
    <w:p w14:paraId="4E775ED1" w14:textId="77777777" w:rsidR="002A5543" w:rsidRDefault="00096E8F">
      <w:pPr>
        <w:pStyle w:val="FootnoteText"/>
      </w:pPr>
      <w:r>
        <w:rPr>
          <w:rStyle w:val="FootnoteReference"/>
        </w:rPr>
        <w:footnoteRef/>
      </w:r>
      <w:r>
        <w:t xml:space="preserve"> </w:t>
      </w:r>
      <w:r>
        <w:fldChar w:fldCharType="begin"/>
      </w:r>
      <w:r>
        <w:instrText xml:space="preserve"> ADDIN ZOTERO_ITEM CSL_CITATION {"citationID":"2Z5JUte5","properties":{"formattedCitation":"Michal Ov\\uc0\\u225{}dek, \\uc0\\u8216{}Book Review: The Enforcement of EU Law and Values: Ensuring Member States\\uc0\\u8217{} Compliance, Edited by Andr\\uc0\\u225{}s Jakab and DimitryKochenov.(Oxford: Oxford University Press, 2017)\\uc0\\u8217{} (2018) 55 Common Market Law Review 683.","plainCitation":"Michal Ovádek, ‘Book Review: The Enforcement of EU Law and Values: Ensuring Member States’ Compliance, Edited by András Jakab and DimitryKochenov.(Oxford: Oxford University Press, 2017)’ (2018) 55 Common Market Law Review 683.","noteIndex":9},"citationItems":[{"id":21,"uris":["http://zotero.org/users/local/b7DLYQym/items/9I3WIC74"],"uri":["http://zotero.org/users/local/b7DLYQym/items/9I3WIC74"],"itemData":{"id":21,"type":"article-journal","title":"Book Review: The Enforcement of EU Law and Values: Ensuring Member States’ Compliance, edited by András Jakab and DimitryKochenov.(Oxford: Oxford University Press, 2017)","container-title":"Common Market Law Review","page":"683-685","volume":"55","issue":"2","author":[{"family":"Ovádek","given":"Michal"}],"issued":{"date-parts":[["2018"]]}}}],"schema":"https://github.com/citation-style-language/schema/raw/master/csl-citation.json"} </w:instrText>
      </w:r>
      <w:r>
        <w:fldChar w:fldCharType="separate"/>
      </w:r>
      <w:r w:rsidRPr="002A5543">
        <w:rPr>
          <w:szCs w:val="24"/>
        </w:rPr>
        <w:t>Michal Ovádek, ‘Book Review: The Enforcement of EU Law and Values: Ensuring Member States’ Compliance, Edited by András Jakab and DimitryKochenov.(Oxford: Oxford University Press, 2017)’ (2018) 55 Common Market Law Review 683.</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C28C" w14:textId="5C624DB4" w:rsidR="000B7825" w:rsidRPr="00D262A6" w:rsidRDefault="00EC7F7B" w:rsidP="00D262A6">
    <w:pPr>
      <w:pStyle w:val="Header"/>
      <w:jc w:val="right"/>
    </w:pPr>
    <w:r w:rsidRPr="00D262A6">
      <w:t xml:space="preserve">  </w:t>
    </w:r>
    <w:r>
      <w:t>Law and International Law</w:t>
    </w:r>
    <w:r w:rsidRPr="00D262A6">
      <w:t xml:space="preserve"> </w:t>
    </w:r>
    <w:r w:rsidR="006478BF">
      <w:fldChar w:fldCharType="begin"/>
    </w:r>
    <w:r w:rsidR="006478BF">
      <w:instrText xml:space="preserve"> PAGE   \* MERGEFORMAT </w:instrText>
    </w:r>
    <w:r w:rsidR="006478BF">
      <w:fldChar w:fldCharType="separate"/>
    </w:r>
    <w:r w:rsidR="00332E89">
      <w:rPr>
        <w:noProof/>
      </w:rPr>
      <w:t>5</w:t>
    </w:r>
    <w:r w:rsidR="006478BF">
      <w:rPr>
        <w:noProof/>
      </w:rPr>
      <w:fldChar w:fldCharType="end"/>
    </w:r>
  </w:p>
  <w:p w14:paraId="6B6E3465" w14:textId="77777777" w:rsidR="000B7825" w:rsidRPr="00D262A6" w:rsidRDefault="000B7825" w:rsidP="00D262A6">
    <w:pPr>
      <w:pStyle w:val="Header"/>
      <w:jc w:val="right"/>
    </w:pPr>
  </w:p>
  <w:p w14:paraId="7DDD0817" w14:textId="77777777" w:rsidR="000B7825" w:rsidRPr="00D262A6" w:rsidRDefault="000B7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7DA0"/>
    <w:multiLevelType w:val="hybridMultilevel"/>
    <w:tmpl w:val="4922FFAC"/>
    <w:lvl w:ilvl="0" w:tplc="8E609540">
      <w:start w:val="1"/>
      <w:numFmt w:val="decimal"/>
      <w:lvlText w:val="%1."/>
      <w:lvlJc w:val="left"/>
      <w:pPr>
        <w:ind w:left="720" w:hanging="360"/>
      </w:pPr>
    </w:lvl>
    <w:lvl w:ilvl="1" w:tplc="33D24C0E" w:tentative="1">
      <w:start w:val="1"/>
      <w:numFmt w:val="lowerLetter"/>
      <w:lvlText w:val="%2."/>
      <w:lvlJc w:val="left"/>
      <w:pPr>
        <w:ind w:left="1440" w:hanging="360"/>
      </w:pPr>
    </w:lvl>
    <w:lvl w:ilvl="2" w:tplc="0BFE7FDC" w:tentative="1">
      <w:start w:val="1"/>
      <w:numFmt w:val="lowerRoman"/>
      <w:lvlText w:val="%3."/>
      <w:lvlJc w:val="right"/>
      <w:pPr>
        <w:ind w:left="2160" w:hanging="180"/>
      </w:pPr>
    </w:lvl>
    <w:lvl w:ilvl="3" w:tplc="C1A09C26" w:tentative="1">
      <w:start w:val="1"/>
      <w:numFmt w:val="decimal"/>
      <w:lvlText w:val="%4."/>
      <w:lvlJc w:val="left"/>
      <w:pPr>
        <w:ind w:left="2880" w:hanging="360"/>
      </w:pPr>
    </w:lvl>
    <w:lvl w:ilvl="4" w:tplc="02863454" w:tentative="1">
      <w:start w:val="1"/>
      <w:numFmt w:val="lowerLetter"/>
      <w:lvlText w:val="%5."/>
      <w:lvlJc w:val="left"/>
      <w:pPr>
        <w:ind w:left="3600" w:hanging="360"/>
      </w:pPr>
    </w:lvl>
    <w:lvl w:ilvl="5" w:tplc="C7AC8F70" w:tentative="1">
      <w:start w:val="1"/>
      <w:numFmt w:val="lowerRoman"/>
      <w:lvlText w:val="%6."/>
      <w:lvlJc w:val="right"/>
      <w:pPr>
        <w:ind w:left="4320" w:hanging="180"/>
      </w:pPr>
    </w:lvl>
    <w:lvl w:ilvl="6" w:tplc="652E3370" w:tentative="1">
      <w:start w:val="1"/>
      <w:numFmt w:val="decimal"/>
      <w:lvlText w:val="%7."/>
      <w:lvlJc w:val="left"/>
      <w:pPr>
        <w:ind w:left="5040" w:hanging="360"/>
      </w:pPr>
    </w:lvl>
    <w:lvl w:ilvl="7" w:tplc="A8C2C1AC" w:tentative="1">
      <w:start w:val="1"/>
      <w:numFmt w:val="lowerLetter"/>
      <w:lvlText w:val="%8."/>
      <w:lvlJc w:val="left"/>
      <w:pPr>
        <w:ind w:left="5760" w:hanging="360"/>
      </w:pPr>
    </w:lvl>
    <w:lvl w:ilvl="8" w:tplc="841EDF52" w:tentative="1">
      <w:start w:val="1"/>
      <w:numFmt w:val="lowerRoman"/>
      <w:lvlText w:val="%9."/>
      <w:lvlJc w:val="right"/>
      <w:pPr>
        <w:ind w:left="6480" w:hanging="180"/>
      </w:pPr>
    </w:lvl>
  </w:abstractNum>
  <w:abstractNum w:abstractNumId="1">
    <w:nsid w:val="34C184D0"/>
    <w:multiLevelType w:val="hybridMultilevel"/>
    <w:tmpl w:val="D6BACA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2750C6"/>
    <w:multiLevelType w:val="hybridMultilevel"/>
    <w:tmpl w:val="EEC49614"/>
    <w:lvl w:ilvl="0" w:tplc="2F6CBE46">
      <w:start w:val="1"/>
      <w:numFmt w:val="decimal"/>
      <w:lvlText w:val="%1."/>
      <w:lvlJc w:val="left"/>
      <w:pPr>
        <w:ind w:left="720" w:hanging="360"/>
      </w:pPr>
    </w:lvl>
    <w:lvl w:ilvl="1" w:tplc="FAB81A64" w:tentative="1">
      <w:start w:val="1"/>
      <w:numFmt w:val="lowerLetter"/>
      <w:lvlText w:val="%2."/>
      <w:lvlJc w:val="left"/>
      <w:pPr>
        <w:ind w:left="1440" w:hanging="360"/>
      </w:pPr>
    </w:lvl>
    <w:lvl w:ilvl="2" w:tplc="E11A48A8" w:tentative="1">
      <w:start w:val="1"/>
      <w:numFmt w:val="lowerRoman"/>
      <w:lvlText w:val="%3."/>
      <w:lvlJc w:val="right"/>
      <w:pPr>
        <w:ind w:left="2160" w:hanging="180"/>
      </w:pPr>
    </w:lvl>
    <w:lvl w:ilvl="3" w:tplc="B25A9BF6" w:tentative="1">
      <w:start w:val="1"/>
      <w:numFmt w:val="decimal"/>
      <w:lvlText w:val="%4."/>
      <w:lvlJc w:val="left"/>
      <w:pPr>
        <w:ind w:left="2880" w:hanging="360"/>
      </w:pPr>
    </w:lvl>
    <w:lvl w:ilvl="4" w:tplc="97D0A56E" w:tentative="1">
      <w:start w:val="1"/>
      <w:numFmt w:val="lowerLetter"/>
      <w:lvlText w:val="%5."/>
      <w:lvlJc w:val="left"/>
      <w:pPr>
        <w:ind w:left="3600" w:hanging="360"/>
      </w:pPr>
    </w:lvl>
    <w:lvl w:ilvl="5" w:tplc="E8DE4E64" w:tentative="1">
      <w:start w:val="1"/>
      <w:numFmt w:val="lowerRoman"/>
      <w:lvlText w:val="%6."/>
      <w:lvlJc w:val="right"/>
      <w:pPr>
        <w:ind w:left="4320" w:hanging="180"/>
      </w:pPr>
    </w:lvl>
    <w:lvl w:ilvl="6" w:tplc="E4BEE0D4" w:tentative="1">
      <w:start w:val="1"/>
      <w:numFmt w:val="decimal"/>
      <w:lvlText w:val="%7."/>
      <w:lvlJc w:val="left"/>
      <w:pPr>
        <w:ind w:left="5040" w:hanging="360"/>
      </w:pPr>
    </w:lvl>
    <w:lvl w:ilvl="7" w:tplc="B2E48B82" w:tentative="1">
      <w:start w:val="1"/>
      <w:numFmt w:val="lowerLetter"/>
      <w:lvlText w:val="%8."/>
      <w:lvlJc w:val="left"/>
      <w:pPr>
        <w:ind w:left="5760" w:hanging="360"/>
      </w:pPr>
    </w:lvl>
    <w:lvl w:ilvl="8" w:tplc="6336944A" w:tentative="1">
      <w:start w:val="1"/>
      <w:numFmt w:val="lowerRoman"/>
      <w:lvlText w:val="%9."/>
      <w:lvlJc w:val="right"/>
      <w:pPr>
        <w:ind w:left="6480" w:hanging="180"/>
      </w:pPr>
    </w:lvl>
  </w:abstractNum>
  <w:abstractNum w:abstractNumId="3">
    <w:nsid w:val="74690D09"/>
    <w:multiLevelType w:val="hybridMultilevel"/>
    <w:tmpl w:val="174CF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0"/>
    <w:rsid w:val="00017EF0"/>
    <w:rsid w:val="00096E8F"/>
    <w:rsid w:val="000A547B"/>
    <w:rsid w:val="000B7825"/>
    <w:rsid w:val="000C6E11"/>
    <w:rsid w:val="000E5A49"/>
    <w:rsid w:val="000F5D2F"/>
    <w:rsid w:val="001060FD"/>
    <w:rsid w:val="00126477"/>
    <w:rsid w:val="001479B2"/>
    <w:rsid w:val="00155AA4"/>
    <w:rsid w:val="00165545"/>
    <w:rsid w:val="00204A25"/>
    <w:rsid w:val="00227D39"/>
    <w:rsid w:val="00231349"/>
    <w:rsid w:val="002331E0"/>
    <w:rsid w:val="0026226C"/>
    <w:rsid w:val="002A26D4"/>
    <w:rsid w:val="002A5543"/>
    <w:rsid w:val="002F136B"/>
    <w:rsid w:val="00332E89"/>
    <w:rsid w:val="003878E7"/>
    <w:rsid w:val="003A193A"/>
    <w:rsid w:val="003B498F"/>
    <w:rsid w:val="003C398B"/>
    <w:rsid w:val="00432B3D"/>
    <w:rsid w:val="004379FF"/>
    <w:rsid w:val="004B0528"/>
    <w:rsid w:val="004D0825"/>
    <w:rsid w:val="005073C9"/>
    <w:rsid w:val="00517E6B"/>
    <w:rsid w:val="0052406A"/>
    <w:rsid w:val="00531299"/>
    <w:rsid w:val="00542827"/>
    <w:rsid w:val="005970C2"/>
    <w:rsid w:val="006036C4"/>
    <w:rsid w:val="00632C7F"/>
    <w:rsid w:val="006478BF"/>
    <w:rsid w:val="006B0938"/>
    <w:rsid w:val="007904E9"/>
    <w:rsid w:val="007D32A6"/>
    <w:rsid w:val="007D37B9"/>
    <w:rsid w:val="007D438B"/>
    <w:rsid w:val="00807A6E"/>
    <w:rsid w:val="008A0361"/>
    <w:rsid w:val="008C2D22"/>
    <w:rsid w:val="008C57AD"/>
    <w:rsid w:val="008D2CBE"/>
    <w:rsid w:val="008D6056"/>
    <w:rsid w:val="00927FB2"/>
    <w:rsid w:val="00943E9E"/>
    <w:rsid w:val="009532AD"/>
    <w:rsid w:val="009744E9"/>
    <w:rsid w:val="009876B9"/>
    <w:rsid w:val="00A067C9"/>
    <w:rsid w:val="00A67792"/>
    <w:rsid w:val="00A97D17"/>
    <w:rsid w:val="00AB5AC2"/>
    <w:rsid w:val="00AF3C3E"/>
    <w:rsid w:val="00B352D1"/>
    <w:rsid w:val="00B65E0B"/>
    <w:rsid w:val="00B7775E"/>
    <w:rsid w:val="00B917C3"/>
    <w:rsid w:val="00BE5E0F"/>
    <w:rsid w:val="00C7528C"/>
    <w:rsid w:val="00D11EE7"/>
    <w:rsid w:val="00D262A6"/>
    <w:rsid w:val="00D329EC"/>
    <w:rsid w:val="00D449E7"/>
    <w:rsid w:val="00E84935"/>
    <w:rsid w:val="00EB2A18"/>
    <w:rsid w:val="00EC7F7B"/>
    <w:rsid w:val="00F0449B"/>
    <w:rsid w:val="00F2009C"/>
    <w:rsid w:val="00F36126"/>
    <w:rsid w:val="00F657D6"/>
    <w:rsid w:val="00FF4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C85F"/>
  <w15:docId w15:val="{7351FCFA-8720-4B16-87B4-903DC5FA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7EF0"/>
    <w:pPr>
      <w:tabs>
        <w:tab w:val="center" w:pos="4320"/>
        <w:tab w:val="right" w:pos="8640"/>
      </w:tabs>
    </w:pPr>
  </w:style>
  <w:style w:type="character" w:customStyle="1" w:styleId="HeaderChar">
    <w:name w:val="Header Char"/>
    <w:basedOn w:val="DefaultParagraphFont"/>
    <w:link w:val="Header"/>
    <w:rsid w:val="00017EF0"/>
    <w:rPr>
      <w:rFonts w:ascii="Times New Roman" w:eastAsia="Times New Roman" w:hAnsi="Times New Roman" w:cs="Times New Roman"/>
      <w:sz w:val="24"/>
      <w:szCs w:val="24"/>
    </w:rPr>
  </w:style>
  <w:style w:type="paragraph" w:styleId="ListParagraph">
    <w:name w:val="List Paragraph"/>
    <w:basedOn w:val="Normal"/>
    <w:uiPriority w:val="34"/>
    <w:qFormat/>
    <w:rsid w:val="00017EF0"/>
    <w:pPr>
      <w:ind w:left="720"/>
      <w:contextualSpacing/>
    </w:pPr>
  </w:style>
  <w:style w:type="paragraph" w:styleId="FootnoteText">
    <w:name w:val="footnote text"/>
    <w:basedOn w:val="Normal"/>
    <w:link w:val="FootnoteTextChar"/>
    <w:uiPriority w:val="99"/>
    <w:semiHidden/>
    <w:unhideWhenUsed/>
    <w:rsid w:val="00017EF0"/>
    <w:rPr>
      <w:sz w:val="20"/>
      <w:szCs w:val="20"/>
    </w:rPr>
  </w:style>
  <w:style w:type="character" w:customStyle="1" w:styleId="FootnoteTextChar">
    <w:name w:val="Footnote Text Char"/>
    <w:basedOn w:val="DefaultParagraphFont"/>
    <w:link w:val="FootnoteText"/>
    <w:uiPriority w:val="99"/>
    <w:semiHidden/>
    <w:rsid w:val="00017E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7EF0"/>
    <w:rPr>
      <w:vertAlign w:val="superscript"/>
    </w:rPr>
  </w:style>
  <w:style w:type="paragraph" w:styleId="Footer">
    <w:name w:val="footer"/>
    <w:basedOn w:val="Normal"/>
    <w:link w:val="FooterChar"/>
    <w:uiPriority w:val="99"/>
    <w:unhideWhenUsed/>
    <w:rsid w:val="00D262A6"/>
    <w:pPr>
      <w:tabs>
        <w:tab w:val="center" w:pos="4680"/>
        <w:tab w:val="right" w:pos="9360"/>
      </w:tabs>
    </w:pPr>
  </w:style>
  <w:style w:type="character" w:customStyle="1" w:styleId="FooterChar">
    <w:name w:val="Footer Char"/>
    <w:basedOn w:val="DefaultParagraphFont"/>
    <w:link w:val="Footer"/>
    <w:uiPriority w:val="99"/>
    <w:rsid w:val="00D262A6"/>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2A5543"/>
    <w:pPr>
      <w:spacing w:after="240"/>
    </w:pPr>
  </w:style>
  <w:style w:type="character" w:styleId="CommentReference">
    <w:name w:val="annotation reference"/>
    <w:basedOn w:val="DefaultParagraphFont"/>
    <w:uiPriority w:val="99"/>
    <w:semiHidden/>
    <w:unhideWhenUsed/>
    <w:rsid w:val="00EC7F7B"/>
    <w:rPr>
      <w:sz w:val="16"/>
      <w:szCs w:val="16"/>
    </w:rPr>
  </w:style>
  <w:style w:type="paragraph" w:styleId="CommentText">
    <w:name w:val="annotation text"/>
    <w:basedOn w:val="Normal"/>
    <w:link w:val="CommentTextChar"/>
    <w:uiPriority w:val="99"/>
    <w:semiHidden/>
    <w:unhideWhenUsed/>
    <w:rsid w:val="00EC7F7B"/>
    <w:rPr>
      <w:sz w:val="20"/>
      <w:szCs w:val="20"/>
    </w:rPr>
  </w:style>
  <w:style w:type="character" w:customStyle="1" w:styleId="CommentTextChar">
    <w:name w:val="Comment Text Char"/>
    <w:basedOn w:val="DefaultParagraphFont"/>
    <w:link w:val="CommentText"/>
    <w:uiPriority w:val="99"/>
    <w:semiHidden/>
    <w:rsid w:val="00EC7F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F7B"/>
    <w:rPr>
      <w:b/>
      <w:bCs/>
    </w:rPr>
  </w:style>
  <w:style w:type="character" w:customStyle="1" w:styleId="CommentSubjectChar">
    <w:name w:val="Comment Subject Char"/>
    <w:basedOn w:val="CommentTextChar"/>
    <w:link w:val="CommentSubject"/>
    <w:uiPriority w:val="99"/>
    <w:semiHidden/>
    <w:rsid w:val="00EC7F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7B"/>
    <w:rPr>
      <w:rFonts w:ascii="Segoe UI" w:eastAsia="Times New Roman" w:hAnsi="Segoe UI" w:cs="Segoe UI"/>
      <w:sz w:val="18"/>
      <w:szCs w:val="18"/>
    </w:rPr>
  </w:style>
  <w:style w:type="paragraph" w:customStyle="1" w:styleId="Default">
    <w:name w:val="Default"/>
    <w:rsid w:val="00EC7F7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686E-CDC6-4E86-B5A8-70D0C3D0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Ainamustafa</dc:creator>
  <cp:lastModifiedBy>Fizzah</cp:lastModifiedBy>
  <cp:revision>2</cp:revision>
  <dcterms:created xsi:type="dcterms:W3CDTF">2019-11-12T04:04:00Z</dcterms:created>
  <dcterms:modified xsi:type="dcterms:W3CDTF">2019-11-12T04:04:00Z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id="qVVLcUd2"/&gt;&lt;style id="http://www.zotero.org/styles/oscola" hasBibliography="1" bibliographyStyleHasBeenSet="1"/&gt;&lt;prefs&gt;&lt;pref name="fieldType" value="Field"/&gt;&lt;pref name="automaticJournalAbbreviati</vt:lpwstr>
  </property>
  <property fmtid="{D5CDD505-2E9C-101B-9397-08002B2CF9AE}" pid="3" name="ZOTERO_PREF_2">
    <vt:lpwstr>ons" value="true"/&gt;&lt;pref name="noteType" value="1"/&gt;&lt;/prefs&gt;&lt;/data&gt;</vt:lpwstr>
  </property>
</Properties>
</file>