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320752">
      <w:pPr>
        <w:pStyle w:val="Title"/>
      </w:pPr>
      <w:sdt>
        <w:sdtPr>
          <w:alias w:val="Title:"/>
          <w:tag w:val="Title:"/>
          <w:id w:val="726351117"/>
          <w:placeholder>
            <w:docPart w:val="144B3B780F0D42B6A2C35452E8F3D1F7"/>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B64E7A" w:rsidRPr="00B64E7A">
            <w:t>Short Paper: Use of Leases</w:t>
          </w:r>
        </w:sdtContent>
      </w:sdt>
    </w:p>
    <w:p w:rsidR="00B823AA" w:rsidRDefault="00B64E7A" w:rsidP="00B823AA">
      <w:pPr>
        <w:pStyle w:val="Title2"/>
      </w:pPr>
      <w:r>
        <w:t xml:space="preserve">Name: </w:t>
      </w:r>
      <w:r w:rsidRPr="00B64E7A">
        <w:t>Tawina Dotson</w:t>
      </w:r>
    </w:p>
    <w:p w:rsidR="00E81978" w:rsidRDefault="00E81978" w:rsidP="00B823AA">
      <w:pPr>
        <w:pStyle w:val="Title2"/>
      </w:pPr>
    </w:p>
    <w:p w:rsidR="00E81978" w:rsidRDefault="00E81978">
      <w:pPr>
        <w:pStyle w:val="Title"/>
      </w:pPr>
    </w:p>
    <w:p w:rsidR="00E81978" w:rsidRDefault="00E81978" w:rsidP="00B823AA">
      <w:pPr>
        <w:pStyle w:val="Title2"/>
      </w:pPr>
    </w:p>
    <w:p w:rsidR="00E81978" w:rsidRDefault="00E81978">
      <w:pPr>
        <w:pStyle w:val="NoSpacing"/>
      </w:pPr>
    </w:p>
    <w:p w:rsidR="00E81978" w:rsidRDefault="00320752">
      <w:pPr>
        <w:pStyle w:val="SectionTitle"/>
      </w:pPr>
      <w:sdt>
        <w:sdtPr>
          <w:alias w:val="Section title:"/>
          <w:tag w:val="Section title:"/>
          <w:id w:val="984196707"/>
          <w:placeholder>
            <w:docPart w:val="23D8457F783A4AA789C5BA8D3A867CA5"/>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B64E7A">
            <w:t>Short Paper: Use of Leases</w:t>
          </w:r>
        </w:sdtContent>
      </w:sdt>
    </w:p>
    <w:p w:rsidR="00CB3540" w:rsidRDefault="00CB3540" w:rsidP="00CB3540">
      <w:pPr>
        <w:pStyle w:val="Heading2"/>
      </w:pPr>
      <w:r>
        <w:t>Use of Leases</w:t>
      </w:r>
    </w:p>
    <w:p w:rsidR="00A00643" w:rsidRDefault="00A00643" w:rsidP="00CB3540">
      <w:pPr>
        <w:pStyle w:val="ListParagraph"/>
        <w:jc w:val="both"/>
      </w:pPr>
      <w:r>
        <w:t xml:space="preserve">The first company I have selected for the analysis is “Coca Cola” </w:t>
      </w:r>
      <w:r w:rsidR="00E567D9">
        <w:t>&amp;</w:t>
      </w:r>
      <w:r>
        <w:t xml:space="preserve"> its shares are being traded on </w:t>
      </w:r>
      <w:r w:rsidR="00E567D9">
        <w:t>NYSE</w:t>
      </w:r>
      <w:r>
        <w:t xml:space="preserve">. While </w:t>
      </w:r>
      <w:r w:rsidR="00E567D9">
        <w:t xml:space="preserve">its rival </w:t>
      </w:r>
      <w:r w:rsidR="00E567D9">
        <w:t xml:space="preserve">company </w:t>
      </w:r>
      <w:r w:rsidR="00E567D9">
        <w:t xml:space="preserve"> I have selected </w:t>
      </w:r>
      <w:r>
        <w:t>is “PepsiCo”, both of these companies are very old rivals of each other.</w:t>
      </w:r>
    </w:p>
    <w:p w:rsidR="00E567D9" w:rsidRDefault="00534F26" w:rsidP="00CB3540">
      <w:pPr>
        <w:pStyle w:val="ListParagraph"/>
        <w:ind w:firstLine="720"/>
        <w:jc w:val="both"/>
      </w:pPr>
      <w:r>
        <w:t>Both companies are using lease facilities to finance its assets. Coca Cola’s strategy is</w:t>
      </w:r>
      <w:r w:rsidR="00E567D9">
        <w:t xml:space="preserve"> that is own</w:t>
      </w:r>
      <w:r w:rsidR="004F1A78">
        <w:t>ed</w:t>
      </w:r>
      <w:r w:rsidR="00E567D9">
        <w:t xml:space="preserve"> extra lease services, in real estate, and places for its offices all over the world and is using these leasehold properties for administrative, production, processing, packing, storing, warehousing, supply chain and the retail operations </w:t>
      </w:r>
      <w:sdt>
        <w:sdtPr>
          <w:id w:val="1826166766"/>
          <w:citation/>
        </w:sdtPr>
        <w:sdtEndPr/>
        <w:sdtContent>
          <w:r w:rsidR="00CB3540">
            <w:fldChar w:fldCharType="begin"/>
          </w:r>
          <w:r w:rsidR="00CB3540">
            <w:instrText xml:space="preserve"> CITATION The19 \l 1033 </w:instrText>
          </w:r>
          <w:r w:rsidR="00CB3540">
            <w:fldChar w:fldCharType="separate"/>
          </w:r>
          <w:r w:rsidR="00CB3540">
            <w:rPr>
              <w:noProof/>
            </w:rPr>
            <w:t>(Company, 2019)</w:t>
          </w:r>
          <w:r w:rsidR="00CB3540">
            <w:fldChar w:fldCharType="end"/>
          </w:r>
        </w:sdtContent>
      </w:sdt>
      <w:r>
        <w:t xml:space="preserve">. </w:t>
      </w:r>
      <w:r w:rsidR="00E567D9">
        <w:t>The location of t</w:t>
      </w:r>
      <w:r>
        <w:t xml:space="preserve">hese properties </w:t>
      </w:r>
      <w:r w:rsidR="00E567D9">
        <w:t>is generally within the geographic boundaries of the country/state in which the operating segment of the company is located.</w:t>
      </w:r>
    </w:p>
    <w:p w:rsidR="00534F26" w:rsidRDefault="00534F26" w:rsidP="00E567D9">
      <w:pPr>
        <w:pStyle w:val="ListParagraph"/>
        <w:ind w:firstLine="720"/>
        <w:jc w:val="both"/>
      </w:pPr>
      <w:r>
        <w:t xml:space="preserve">While Pepsico’s leasing strategy is </w:t>
      </w:r>
      <w:r w:rsidR="00E567D9">
        <w:t xml:space="preserve">also alike Coca Cola and its </w:t>
      </w:r>
      <w:bookmarkStart w:id="0" w:name="_GoBack"/>
      <w:bookmarkEnd w:id="0"/>
      <w:r w:rsidR="00E567D9">
        <w:t>hea</w:t>
      </w:r>
      <w:r w:rsidR="004F1A78">
        <w:t>d offi</w:t>
      </w:r>
      <w:r w:rsidR="00E567D9">
        <w:t>c</w:t>
      </w:r>
      <w:r w:rsidR="004F1A78">
        <w:t>e</w:t>
      </w:r>
      <w:r w:rsidR="00E567D9">
        <w:t xml:space="preserve"> located in Purchase, New York. And remaining facilit</w:t>
      </w:r>
      <w:r w:rsidR="004F1A78">
        <w:t>i</w:t>
      </w:r>
      <w:r w:rsidR="00E567D9">
        <w:t xml:space="preserve">es are scattered in States like Plano, Texas. All these properties are held by PepsiCo and are the major segment of its total properties </w:t>
      </w:r>
      <w:sdt>
        <w:sdtPr>
          <w:id w:val="362787023"/>
          <w:citation/>
        </w:sdtPr>
        <w:sdtEndPr/>
        <w:sdtContent>
          <w:r w:rsidR="00CB3540">
            <w:fldChar w:fldCharType="begin"/>
          </w:r>
          <w:r w:rsidR="00CB3540">
            <w:instrText xml:space="preserve">CITATION Pep19 \l 1033 </w:instrText>
          </w:r>
          <w:r w:rsidR="00CB3540">
            <w:fldChar w:fldCharType="separate"/>
          </w:r>
          <w:r w:rsidR="00CB3540">
            <w:rPr>
              <w:noProof/>
            </w:rPr>
            <w:t>(PepsiCo, 2019)</w:t>
          </w:r>
          <w:r w:rsidR="00CB3540">
            <w:fldChar w:fldCharType="end"/>
          </w:r>
        </w:sdtContent>
      </w:sdt>
      <w:r>
        <w:t xml:space="preserve">. </w:t>
      </w:r>
      <w:r w:rsidR="00E567D9">
        <w:t>It operating segments are using the manufacturing plants, storage facilities, supply chain centers, workplaces, and other such kinds of facilities. All these properties are either leased or are owned by the Company in connection with the manufacturing, marketing, supply chain, and selling its goods.</w:t>
      </w:r>
    </w:p>
    <w:p w:rsidR="00534F26" w:rsidRDefault="004F1A78" w:rsidP="00CB3540">
      <w:pPr>
        <w:pStyle w:val="ListParagraph"/>
        <w:ind w:firstLine="720"/>
        <w:jc w:val="both"/>
      </w:pPr>
      <w:r>
        <w:t xml:space="preserve">Both the companies are following the disclosure rules and regulations as specified by the </w:t>
      </w:r>
      <w:r w:rsidR="00534F26">
        <w:t>SFAS No. 13.</w:t>
      </w:r>
    </w:p>
    <w:p w:rsidR="00534F26" w:rsidRDefault="004F1A78" w:rsidP="00CB3540">
      <w:pPr>
        <w:pStyle w:val="ListParagraph"/>
        <w:ind w:firstLine="720"/>
        <w:jc w:val="both"/>
      </w:pPr>
      <w:r>
        <w:t xml:space="preserve">Coca Cola’s and PepsiCo’s are </w:t>
      </w:r>
      <w:r>
        <w:t>utilizing the direct financing method to account for their lease transactions</w:t>
      </w:r>
      <w:r>
        <w:t xml:space="preserve"> </w:t>
      </w:r>
      <w:r w:rsidR="00BA4B2C">
        <w:t>lessors</w:t>
      </w:r>
      <w:r>
        <w:t>, and their lessors</w:t>
      </w:r>
      <w:r w:rsidR="00BA4B2C">
        <w:t xml:space="preserve"> are in the</w:t>
      </w:r>
      <w:r>
        <w:t>ir</w:t>
      </w:r>
      <w:r w:rsidR="00BA4B2C">
        <w:t xml:space="preserve"> lease </w:t>
      </w:r>
      <w:r>
        <w:t>dealings.</w:t>
      </w:r>
    </w:p>
    <w:p w:rsidR="00CB3540" w:rsidRDefault="00BA4B2C" w:rsidP="004F1A78">
      <w:pPr>
        <w:pStyle w:val="ListParagraph"/>
        <w:jc w:val="both"/>
      </w:pPr>
      <w:r>
        <w:lastRenderedPageBreak/>
        <w:tab/>
        <w:t xml:space="preserve">Yes, </w:t>
      </w:r>
      <w:r w:rsidR="004F1A78">
        <w:t xml:space="preserve">assets acquired under finance lease are </w:t>
      </w:r>
      <w:r>
        <w:t xml:space="preserve">disclosed </w:t>
      </w:r>
      <w:r w:rsidR="004F1A78">
        <w:t xml:space="preserve">by both of the companies in their </w:t>
      </w:r>
      <w:r>
        <w:t xml:space="preserve">financial </w:t>
      </w:r>
      <w:r w:rsidR="004F1A78">
        <w:t xml:space="preserve">statement under the heading </w:t>
      </w:r>
      <w:r>
        <w:t xml:space="preserve">“Item 2. Properties” </w:t>
      </w:r>
      <w:r w:rsidR="004F1A78">
        <w:t xml:space="preserve">of the annual report. </w:t>
      </w:r>
      <w:r>
        <w:t xml:space="preserve">These are classified according to physical locations and the nature of the assets leased. Management of both the companies </w:t>
      </w:r>
      <w:r w:rsidR="004F1A78">
        <w:t>have trust</w:t>
      </w:r>
      <w:r>
        <w:t xml:space="preserve"> that thei</w:t>
      </w:r>
      <w:r w:rsidR="00CB3540">
        <w:t xml:space="preserve">r </w:t>
      </w:r>
      <w:r w:rsidR="004F1A78">
        <w:t>the production facilities under use by the company is appropriate and enough, and these properties are being utilized up to their full potential. Moreover, the management is certain that the companies have enough production volume that their current planned levels are being achieved successfully. It is the policy of both the companies that they keep reviewing their expected supplies for the services, and additional lease are acquired or the old ones are paid off on the basis of these reviews.</w:t>
      </w:r>
    </w:p>
    <w:p w:rsidR="00CB3540" w:rsidRDefault="00CB3540">
      <w:r>
        <w:br w:type="page"/>
      </w:r>
    </w:p>
    <w:sdt>
      <w:sdtPr>
        <w:rPr>
          <w:rFonts w:asciiTheme="minorHAnsi" w:eastAsiaTheme="minorEastAsia" w:hAnsiTheme="minorHAnsi" w:cstheme="minorBidi"/>
          <w:b w:val="0"/>
          <w:bCs w:val="0"/>
        </w:rPr>
        <w:id w:val="1718464637"/>
        <w:docPartObj>
          <w:docPartGallery w:val="Bibliographies"/>
          <w:docPartUnique/>
        </w:docPartObj>
      </w:sdtPr>
      <w:sdtEndPr/>
      <w:sdtContent>
        <w:p w:rsidR="00CB3540" w:rsidRDefault="00CB3540">
          <w:pPr>
            <w:pStyle w:val="Heading1"/>
          </w:pPr>
          <w:r>
            <w:t>References</w:t>
          </w:r>
        </w:p>
        <w:sdt>
          <w:sdtPr>
            <w:id w:val="-573587230"/>
            <w:bibliography/>
          </w:sdtPr>
          <w:sdtEndPr/>
          <w:sdtContent>
            <w:p w:rsidR="00CB3540" w:rsidRDefault="00CB3540" w:rsidP="00CB3540">
              <w:pPr>
                <w:pStyle w:val="Bibliography"/>
                <w:rPr>
                  <w:noProof/>
                </w:rPr>
              </w:pPr>
              <w:r>
                <w:fldChar w:fldCharType="begin"/>
              </w:r>
              <w:r>
                <w:instrText xml:space="preserve"> BIBLIOGRAPHY </w:instrText>
              </w:r>
              <w:r>
                <w:fldChar w:fldCharType="separate"/>
              </w:r>
              <w:r>
                <w:rPr>
                  <w:noProof/>
                </w:rPr>
                <w:t xml:space="preserve">Company, T. C. (2019, June 30). </w:t>
              </w:r>
              <w:r>
                <w:rPr>
                  <w:i/>
                  <w:iCs/>
                  <w:noProof/>
                </w:rPr>
                <w:t>Form 10-K</w:t>
              </w:r>
              <w:r>
                <w:rPr>
                  <w:noProof/>
                </w:rPr>
                <w:t>. Retrieved from www.coca-colacompany.com: https://www.coca-colacompany.com/content/dam/journey/us/en/private/fileassets/pdf/2019/annual-shareholders-meeting/2018-Annual-Report-on-Form-10-K.pdf</w:t>
              </w:r>
            </w:p>
            <w:p w:rsidR="00CB3540" w:rsidRDefault="00CB3540" w:rsidP="00CB3540">
              <w:pPr>
                <w:pStyle w:val="Bibliography"/>
                <w:rPr>
                  <w:noProof/>
                </w:rPr>
              </w:pPr>
              <w:r>
                <w:rPr>
                  <w:noProof/>
                </w:rPr>
                <w:t xml:space="preserve">PepsiCo. (2019, June 30). </w:t>
              </w:r>
              <w:r>
                <w:rPr>
                  <w:i/>
                  <w:iCs/>
                  <w:noProof/>
                </w:rPr>
                <w:t>FORM 10-K</w:t>
              </w:r>
              <w:r>
                <w:rPr>
                  <w:noProof/>
                </w:rPr>
                <w:t>. Retrieved from Annual Report 2018: https://www.pepsico.com/docs/album/annual-reports/2018-annual-report.pdf?sfvrsn=35d1d2bc_2</w:t>
              </w:r>
            </w:p>
            <w:p w:rsidR="00CB3540" w:rsidRDefault="00CB3540" w:rsidP="00CB3540">
              <w:r>
                <w:rPr>
                  <w:b/>
                  <w:bCs/>
                  <w:noProof/>
                </w:rPr>
                <w:fldChar w:fldCharType="end"/>
              </w:r>
            </w:p>
          </w:sdtContent>
        </w:sdt>
      </w:sdtContent>
    </w:sdt>
    <w:p w:rsidR="00BA4B2C" w:rsidRDefault="00BA4B2C" w:rsidP="00CB3540">
      <w:pPr>
        <w:pStyle w:val="ListParagraph"/>
        <w:jc w:val="both"/>
      </w:pPr>
    </w:p>
    <w:sectPr w:rsidR="00BA4B2C">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0752" w:rsidRDefault="00320752">
      <w:pPr>
        <w:spacing w:line="240" w:lineRule="auto"/>
      </w:pPr>
      <w:r>
        <w:separator/>
      </w:r>
    </w:p>
    <w:p w:rsidR="00320752" w:rsidRDefault="00320752"/>
  </w:endnote>
  <w:endnote w:type="continuationSeparator" w:id="0">
    <w:p w:rsidR="00320752" w:rsidRDefault="00320752">
      <w:pPr>
        <w:spacing w:line="240" w:lineRule="auto"/>
      </w:pPr>
      <w:r>
        <w:continuationSeparator/>
      </w:r>
    </w:p>
    <w:p w:rsidR="00320752" w:rsidRDefault="003207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0752" w:rsidRDefault="00320752">
      <w:pPr>
        <w:spacing w:line="240" w:lineRule="auto"/>
      </w:pPr>
      <w:r>
        <w:separator/>
      </w:r>
    </w:p>
    <w:p w:rsidR="00320752" w:rsidRDefault="00320752"/>
  </w:footnote>
  <w:footnote w:type="continuationSeparator" w:id="0">
    <w:p w:rsidR="00320752" w:rsidRDefault="00320752">
      <w:pPr>
        <w:spacing w:line="240" w:lineRule="auto"/>
      </w:pPr>
      <w:r>
        <w:continuationSeparator/>
      </w:r>
    </w:p>
    <w:p w:rsidR="00320752" w:rsidRDefault="003207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320752">
    <w:pPr>
      <w:pStyle w:val="Header"/>
    </w:pPr>
    <w:sdt>
      <w:sdtPr>
        <w:rPr>
          <w:rStyle w:val="Strong"/>
        </w:rPr>
        <w:alias w:val="Running head"/>
        <w:tag w:val=""/>
        <w:id w:val="12739865"/>
        <w:placeholder>
          <w:docPart w:val="A7854C43595C4F12A30D636B0866C446"/>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E567D9">
          <w:rPr>
            <w:rStyle w:val="Strong"/>
          </w:rPr>
          <w:t>[SHORT PAPER: USE OF LEASES]</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D3F41">
      <w:rPr>
        <w:rStyle w:val="Strong"/>
        <w:noProof/>
      </w:rPr>
      <w:t>8</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5D3A03">
    <w:pPr>
      <w:pStyle w:val="Header"/>
      <w:rPr>
        <w:rStyle w:val="Strong"/>
      </w:rPr>
    </w:pPr>
    <w:r>
      <w:t xml:space="preserve">Running head: </w:t>
    </w:r>
    <w:sdt>
      <w:sdtPr>
        <w:rPr>
          <w:rStyle w:val="Strong"/>
        </w:rPr>
        <w:alias w:val="Running head"/>
        <w:tag w:val=""/>
        <w:id w:val="-696842620"/>
        <w:placeholder>
          <w:docPart w:val="68084E9E46464EF48780E87A216EB529"/>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E567D9">
          <w:rPr>
            <w:rStyle w:val="Strong"/>
          </w:rPr>
          <w:t>[SHORT PAPER: USE OF LEASES]</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D3F41">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9C0319A"/>
    <w:multiLevelType w:val="hybridMultilevel"/>
    <w:tmpl w:val="F6B8739C"/>
    <w:lvl w:ilvl="0" w:tplc="505C6C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2NDG3MDIwtjA2NzdW0lEKTi0uzszPAykwrgUAMfuR0ywAAAA="/>
  </w:docVars>
  <w:rsids>
    <w:rsidRoot w:val="00B64E7A"/>
    <w:rsid w:val="000D3F41"/>
    <w:rsid w:val="00320752"/>
    <w:rsid w:val="00355DCA"/>
    <w:rsid w:val="00363566"/>
    <w:rsid w:val="004F1A78"/>
    <w:rsid w:val="00534F26"/>
    <w:rsid w:val="00551A02"/>
    <w:rsid w:val="005534FA"/>
    <w:rsid w:val="005D3A03"/>
    <w:rsid w:val="0079301A"/>
    <w:rsid w:val="008002C0"/>
    <w:rsid w:val="008C5323"/>
    <w:rsid w:val="009A6A3B"/>
    <w:rsid w:val="009E098B"/>
    <w:rsid w:val="00A00643"/>
    <w:rsid w:val="00B41911"/>
    <w:rsid w:val="00B64E7A"/>
    <w:rsid w:val="00B823AA"/>
    <w:rsid w:val="00BA45DB"/>
    <w:rsid w:val="00BA4B2C"/>
    <w:rsid w:val="00BF4184"/>
    <w:rsid w:val="00C0601E"/>
    <w:rsid w:val="00C31D30"/>
    <w:rsid w:val="00CB3540"/>
    <w:rsid w:val="00CD6E39"/>
    <w:rsid w:val="00CF6E91"/>
    <w:rsid w:val="00D85B68"/>
    <w:rsid w:val="00E567D9"/>
    <w:rsid w:val="00E6004D"/>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482B2"/>
  <w15:chartTrackingRefBased/>
  <w15:docId w15:val="{C5499E71-9D66-495E-AAA7-BDA1E755C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4405976">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17781166">
      <w:bodyDiv w:val="1"/>
      <w:marLeft w:val="0"/>
      <w:marRight w:val="0"/>
      <w:marTop w:val="0"/>
      <w:marBottom w:val="0"/>
      <w:divBdr>
        <w:top w:val="none" w:sz="0" w:space="0" w:color="auto"/>
        <w:left w:val="none" w:sz="0" w:space="0" w:color="auto"/>
        <w:bottom w:val="none" w:sz="0" w:space="0" w:color="auto"/>
        <w:right w:val="none" w:sz="0" w:space="0" w:color="auto"/>
      </w:divBdr>
    </w:div>
    <w:div w:id="904342529">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49720080">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06641772">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4B3B780F0D42B6A2C35452E8F3D1F7"/>
        <w:category>
          <w:name w:val="General"/>
          <w:gallery w:val="placeholder"/>
        </w:category>
        <w:types>
          <w:type w:val="bbPlcHdr"/>
        </w:types>
        <w:behaviors>
          <w:behavior w:val="content"/>
        </w:behaviors>
        <w:guid w:val="{D7CD80A5-6981-4A59-A2B2-22435A528823}"/>
      </w:docPartPr>
      <w:docPartBody>
        <w:p w:rsidR="008F343D" w:rsidRDefault="003D50D3">
          <w:pPr>
            <w:pStyle w:val="144B3B780F0D42B6A2C35452E8F3D1F7"/>
          </w:pPr>
          <w:r>
            <w:t>[Title Here, up to 12 Words, on One to Two Lines]</w:t>
          </w:r>
        </w:p>
      </w:docPartBody>
    </w:docPart>
    <w:docPart>
      <w:docPartPr>
        <w:name w:val="23D8457F783A4AA789C5BA8D3A867CA5"/>
        <w:category>
          <w:name w:val="General"/>
          <w:gallery w:val="placeholder"/>
        </w:category>
        <w:types>
          <w:type w:val="bbPlcHdr"/>
        </w:types>
        <w:behaviors>
          <w:behavior w:val="content"/>
        </w:behaviors>
        <w:guid w:val="{343850A8-A955-47D5-8ECF-9B9E1B3135D7}"/>
      </w:docPartPr>
      <w:docPartBody>
        <w:p w:rsidR="008F343D" w:rsidRDefault="003D50D3">
          <w:pPr>
            <w:pStyle w:val="23D8457F783A4AA789C5BA8D3A867CA5"/>
          </w:pPr>
          <w:r>
            <w:t>[Title Here, up to 12 Words, on One to Two Lines]</w:t>
          </w:r>
        </w:p>
      </w:docPartBody>
    </w:docPart>
    <w:docPart>
      <w:docPartPr>
        <w:name w:val="A7854C43595C4F12A30D636B0866C446"/>
        <w:category>
          <w:name w:val="General"/>
          <w:gallery w:val="placeholder"/>
        </w:category>
        <w:types>
          <w:type w:val="bbPlcHdr"/>
        </w:types>
        <w:behaviors>
          <w:behavior w:val="content"/>
        </w:behaviors>
        <w:guid w:val="{F298E133-048E-442A-AB06-92F96C61B248}"/>
      </w:docPartPr>
      <w:docPartBody>
        <w:p w:rsidR="008F343D" w:rsidRDefault="003D50D3">
          <w:pPr>
            <w:pStyle w:val="A7854C43595C4F12A30D636B0866C446"/>
          </w:pPr>
          <w:r w:rsidRPr="005D3A03">
            <w:t>Figures title:</w:t>
          </w:r>
        </w:p>
      </w:docPartBody>
    </w:docPart>
    <w:docPart>
      <w:docPartPr>
        <w:name w:val="68084E9E46464EF48780E87A216EB529"/>
        <w:category>
          <w:name w:val="General"/>
          <w:gallery w:val="placeholder"/>
        </w:category>
        <w:types>
          <w:type w:val="bbPlcHdr"/>
        </w:types>
        <w:behaviors>
          <w:behavior w:val="content"/>
        </w:behaviors>
        <w:guid w:val="{CEC4A2AE-8A3B-422C-BC39-85543EDE966A}"/>
      </w:docPartPr>
      <w:docPartBody>
        <w:p w:rsidR="008F343D" w:rsidRDefault="003D50D3">
          <w:pPr>
            <w:pStyle w:val="68084E9E46464EF48780E87A216EB529"/>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D3"/>
    <w:rsid w:val="000B417E"/>
    <w:rsid w:val="003D50D3"/>
    <w:rsid w:val="00654A7B"/>
    <w:rsid w:val="008F3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B3B780F0D42B6A2C35452E8F3D1F7">
    <w:name w:val="144B3B780F0D42B6A2C35452E8F3D1F7"/>
  </w:style>
  <w:style w:type="paragraph" w:customStyle="1" w:styleId="401904AAED9D4CF6AB1373F5D9E3FDB8">
    <w:name w:val="401904AAED9D4CF6AB1373F5D9E3FDB8"/>
  </w:style>
  <w:style w:type="paragraph" w:customStyle="1" w:styleId="83913420D5A3423799EC54D63026BDA9">
    <w:name w:val="83913420D5A3423799EC54D63026BDA9"/>
  </w:style>
  <w:style w:type="paragraph" w:customStyle="1" w:styleId="BF0A871C469243DCAFACF889C1AAE8D9">
    <w:name w:val="BF0A871C469243DCAFACF889C1AAE8D9"/>
  </w:style>
  <w:style w:type="paragraph" w:customStyle="1" w:styleId="E54D4A5A8AB64CB18685D69DD8D1D9BC">
    <w:name w:val="E54D4A5A8AB64CB18685D69DD8D1D9BC"/>
  </w:style>
  <w:style w:type="paragraph" w:customStyle="1" w:styleId="99679887E66A4312A516A2E4D1B704C6">
    <w:name w:val="99679887E66A4312A516A2E4D1B704C6"/>
  </w:style>
  <w:style w:type="character" w:styleId="Emphasis">
    <w:name w:val="Emphasis"/>
    <w:basedOn w:val="DefaultParagraphFont"/>
    <w:uiPriority w:val="4"/>
    <w:unhideWhenUsed/>
    <w:qFormat/>
    <w:rPr>
      <w:i/>
      <w:iCs/>
    </w:rPr>
  </w:style>
  <w:style w:type="paragraph" w:customStyle="1" w:styleId="9C19CA8640E944799811CB3F9CFEBF99">
    <w:name w:val="9C19CA8640E944799811CB3F9CFEBF99"/>
  </w:style>
  <w:style w:type="paragraph" w:customStyle="1" w:styleId="8BBFB796C2364DC8909D4CCD480F1BC8">
    <w:name w:val="8BBFB796C2364DC8909D4CCD480F1BC8"/>
  </w:style>
  <w:style w:type="paragraph" w:customStyle="1" w:styleId="23D8457F783A4AA789C5BA8D3A867CA5">
    <w:name w:val="23D8457F783A4AA789C5BA8D3A867CA5"/>
  </w:style>
  <w:style w:type="paragraph" w:customStyle="1" w:styleId="E29014CD9CD3420B858F7A5D692FCE28">
    <w:name w:val="E29014CD9CD3420B858F7A5D692FCE28"/>
  </w:style>
  <w:style w:type="paragraph" w:customStyle="1" w:styleId="9E70DA8733804DFDBB9656626BC8F98F">
    <w:name w:val="9E70DA8733804DFDBB9656626BC8F98F"/>
  </w:style>
  <w:style w:type="paragraph" w:customStyle="1" w:styleId="D828C5989B064267A0D11F5D98ADA49E">
    <w:name w:val="D828C5989B064267A0D11F5D98ADA49E"/>
  </w:style>
  <w:style w:type="paragraph" w:customStyle="1" w:styleId="B575A311DE1248A09A0EB1DBF88AFD4E">
    <w:name w:val="B575A311DE1248A09A0EB1DBF88AFD4E"/>
  </w:style>
  <w:style w:type="paragraph" w:customStyle="1" w:styleId="BA5078DD3C5F4C44980AFA9FB5F931AC">
    <w:name w:val="BA5078DD3C5F4C44980AFA9FB5F931AC"/>
  </w:style>
  <w:style w:type="paragraph" w:customStyle="1" w:styleId="17C553E9401C48AEBBBFC25938AC52FC">
    <w:name w:val="17C553E9401C48AEBBBFC25938AC52FC"/>
  </w:style>
  <w:style w:type="paragraph" w:customStyle="1" w:styleId="FEDE8A42F94D492FB3A148D4F3D9978A">
    <w:name w:val="FEDE8A42F94D492FB3A148D4F3D9978A"/>
  </w:style>
  <w:style w:type="paragraph" w:customStyle="1" w:styleId="108B48B29743460C91D67E5737C1C316">
    <w:name w:val="108B48B29743460C91D67E5737C1C316"/>
  </w:style>
  <w:style w:type="paragraph" w:customStyle="1" w:styleId="D3F0766BB54B4202B878548E84B7CF98">
    <w:name w:val="D3F0766BB54B4202B878548E84B7CF98"/>
  </w:style>
  <w:style w:type="paragraph" w:customStyle="1" w:styleId="A415895BDE484BCABB4D1A3C550F97E9">
    <w:name w:val="A415895BDE484BCABB4D1A3C550F97E9"/>
  </w:style>
  <w:style w:type="paragraph" w:customStyle="1" w:styleId="1640958D668C4DAEBF0A3C0DCB779FA3">
    <w:name w:val="1640958D668C4DAEBF0A3C0DCB779FA3"/>
  </w:style>
  <w:style w:type="paragraph" w:customStyle="1" w:styleId="CFD64526F2874E3F81D8351CCEC1471C">
    <w:name w:val="CFD64526F2874E3F81D8351CCEC1471C"/>
  </w:style>
  <w:style w:type="paragraph" w:customStyle="1" w:styleId="01DDAA515F3B4B29B848A916EECCC61C">
    <w:name w:val="01DDAA515F3B4B29B848A916EECCC61C"/>
  </w:style>
  <w:style w:type="paragraph" w:customStyle="1" w:styleId="7A847CB95A364ABB9CC72D7CDE6087FB">
    <w:name w:val="7A847CB95A364ABB9CC72D7CDE6087FB"/>
  </w:style>
  <w:style w:type="paragraph" w:customStyle="1" w:styleId="8E33E0191B0D44F4A879B05B2A829CB7">
    <w:name w:val="8E33E0191B0D44F4A879B05B2A829CB7"/>
  </w:style>
  <w:style w:type="paragraph" w:customStyle="1" w:styleId="ABE3D7D94A3348CF98E9240FC0ABE23B">
    <w:name w:val="ABE3D7D94A3348CF98E9240FC0ABE23B"/>
  </w:style>
  <w:style w:type="paragraph" w:customStyle="1" w:styleId="94CA0CEE8347438AA214D41889C5EF5F">
    <w:name w:val="94CA0CEE8347438AA214D41889C5EF5F"/>
  </w:style>
  <w:style w:type="paragraph" w:customStyle="1" w:styleId="6A84C06A6BD242F5A5A612307174578F">
    <w:name w:val="6A84C06A6BD242F5A5A612307174578F"/>
  </w:style>
  <w:style w:type="paragraph" w:customStyle="1" w:styleId="2EB3C0D9F1234E9DB13A082903DABED6">
    <w:name w:val="2EB3C0D9F1234E9DB13A082903DABED6"/>
  </w:style>
  <w:style w:type="paragraph" w:customStyle="1" w:styleId="4CF7A24EB86F45E5B1AED997CD39FA80">
    <w:name w:val="4CF7A24EB86F45E5B1AED997CD39FA80"/>
  </w:style>
  <w:style w:type="paragraph" w:customStyle="1" w:styleId="C5D3CF3EBB7A4496A8C809B2EE93643C">
    <w:name w:val="C5D3CF3EBB7A4496A8C809B2EE93643C"/>
  </w:style>
  <w:style w:type="paragraph" w:customStyle="1" w:styleId="05E7888DEDEB48668D99F76BE268F43B">
    <w:name w:val="05E7888DEDEB48668D99F76BE268F43B"/>
  </w:style>
  <w:style w:type="paragraph" w:customStyle="1" w:styleId="8BEE26E0DA28402CAA378868E438E267">
    <w:name w:val="8BEE26E0DA28402CAA378868E438E267"/>
  </w:style>
  <w:style w:type="paragraph" w:customStyle="1" w:styleId="FB60E442BBF4413EA3EDC32B08A23008">
    <w:name w:val="FB60E442BBF4413EA3EDC32B08A23008"/>
  </w:style>
  <w:style w:type="paragraph" w:customStyle="1" w:styleId="577D3C41ED024CC798996F1A0F0886F2">
    <w:name w:val="577D3C41ED024CC798996F1A0F0886F2"/>
  </w:style>
  <w:style w:type="paragraph" w:customStyle="1" w:styleId="22009B9FB1F54445AF9770A0D8944C31">
    <w:name w:val="22009B9FB1F54445AF9770A0D8944C31"/>
  </w:style>
  <w:style w:type="paragraph" w:customStyle="1" w:styleId="0230F7094DC14C6694C6650E0A0DB87B">
    <w:name w:val="0230F7094DC14C6694C6650E0A0DB87B"/>
  </w:style>
  <w:style w:type="paragraph" w:customStyle="1" w:styleId="22495F80A48B4700B7929A93788DB74C">
    <w:name w:val="22495F80A48B4700B7929A93788DB74C"/>
  </w:style>
  <w:style w:type="paragraph" w:customStyle="1" w:styleId="B577D65148FA48F58C1D1E8C11981FF7">
    <w:name w:val="B577D65148FA48F58C1D1E8C11981FF7"/>
  </w:style>
  <w:style w:type="paragraph" w:customStyle="1" w:styleId="CB73AED2AFE549678C4D2EAE35E8290C">
    <w:name w:val="CB73AED2AFE549678C4D2EAE35E8290C"/>
  </w:style>
  <w:style w:type="paragraph" w:customStyle="1" w:styleId="0994B5CA85F64F6D99B05A6F49C19681">
    <w:name w:val="0994B5CA85F64F6D99B05A6F49C19681"/>
  </w:style>
  <w:style w:type="paragraph" w:customStyle="1" w:styleId="C0F5A1F8ADE5476EA7C3F4DAF6746B6F">
    <w:name w:val="C0F5A1F8ADE5476EA7C3F4DAF6746B6F"/>
  </w:style>
  <w:style w:type="paragraph" w:customStyle="1" w:styleId="0E807C35EF814A399785C66B358A4312">
    <w:name w:val="0E807C35EF814A399785C66B358A4312"/>
  </w:style>
  <w:style w:type="paragraph" w:customStyle="1" w:styleId="251E26772AF04169899ACA28179F75F0">
    <w:name w:val="251E26772AF04169899ACA28179F75F0"/>
  </w:style>
  <w:style w:type="paragraph" w:customStyle="1" w:styleId="83E4AB6B33AB43088F3AD66A02852911">
    <w:name w:val="83E4AB6B33AB43088F3AD66A02852911"/>
  </w:style>
  <w:style w:type="paragraph" w:customStyle="1" w:styleId="15B64F9B4FAF494EBADF5E2035E8A295">
    <w:name w:val="15B64F9B4FAF494EBADF5E2035E8A295"/>
  </w:style>
  <w:style w:type="paragraph" w:customStyle="1" w:styleId="B6E7EA9BDE8949E48E28264D166C5F92">
    <w:name w:val="B6E7EA9BDE8949E48E28264D166C5F92"/>
  </w:style>
  <w:style w:type="paragraph" w:customStyle="1" w:styleId="DC2692CA6AAE462FB90286D6061F5BA4">
    <w:name w:val="DC2692CA6AAE462FB90286D6061F5BA4"/>
  </w:style>
  <w:style w:type="paragraph" w:customStyle="1" w:styleId="65DC23265FAE48368E3AAA5726408787">
    <w:name w:val="65DC23265FAE48368E3AAA5726408787"/>
  </w:style>
  <w:style w:type="paragraph" w:customStyle="1" w:styleId="59F8F6A30B364D6985C1738E7971F34E">
    <w:name w:val="59F8F6A30B364D6985C1738E7971F34E"/>
  </w:style>
  <w:style w:type="paragraph" w:customStyle="1" w:styleId="9BF020D7C31A491DAF7932619D32683E">
    <w:name w:val="9BF020D7C31A491DAF7932619D32683E"/>
  </w:style>
  <w:style w:type="paragraph" w:customStyle="1" w:styleId="B6AFF3724D23416982FD49EF2079CA7B">
    <w:name w:val="B6AFF3724D23416982FD49EF2079CA7B"/>
  </w:style>
  <w:style w:type="paragraph" w:customStyle="1" w:styleId="F015B2132E8D43A189595BA5F3F4730E">
    <w:name w:val="F015B2132E8D43A189595BA5F3F4730E"/>
  </w:style>
  <w:style w:type="paragraph" w:customStyle="1" w:styleId="18CFCB623BFF43E0B4161E00E314A454">
    <w:name w:val="18CFCB623BFF43E0B4161E00E314A454"/>
  </w:style>
  <w:style w:type="paragraph" w:customStyle="1" w:styleId="034E1BEAE9BB404FBA671C88B62175B6">
    <w:name w:val="034E1BEAE9BB404FBA671C88B62175B6"/>
  </w:style>
  <w:style w:type="paragraph" w:customStyle="1" w:styleId="B3E642DCFDF74908992E6DB12B4AF531">
    <w:name w:val="B3E642DCFDF74908992E6DB12B4AF531"/>
  </w:style>
  <w:style w:type="paragraph" w:customStyle="1" w:styleId="B333889443394BDEB88B853C6479C82B">
    <w:name w:val="B333889443394BDEB88B853C6479C82B"/>
  </w:style>
  <w:style w:type="paragraph" w:customStyle="1" w:styleId="ED26040E43E844C393D3A4BFBB0084C6">
    <w:name w:val="ED26040E43E844C393D3A4BFBB0084C6"/>
  </w:style>
  <w:style w:type="paragraph" w:customStyle="1" w:styleId="43B4DCCF106A4F688C3E694819CF92E7">
    <w:name w:val="43B4DCCF106A4F688C3E694819CF92E7"/>
  </w:style>
  <w:style w:type="paragraph" w:customStyle="1" w:styleId="DFEACBF2298342939D7472A5CDF9DA3A">
    <w:name w:val="DFEACBF2298342939D7472A5CDF9DA3A"/>
  </w:style>
  <w:style w:type="paragraph" w:customStyle="1" w:styleId="33900DD919C24211AD48A80428143329">
    <w:name w:val="33900DD919C24211AD48A80428143329"/>
  </w:style>
  <w:style w:type="paragraph" w:customStyle="1" w:styleId="45A413AF1F1B424BB24E90FA4BC99B20">
    <w:name w:val="45A413AF1F1B424BB24E90FA4BC99B20"/>
  </w:style>
  <w:style w:type="paragraph" w:customStyle="1" w:styleId="A7854C43595C4F12A30D636B0866C446">
    <w:name w:val="A7854C43595C4F12A30D636B0866C446"/>
  </w:style>
  <w:style w:type="paragraph" w:customStyle="1" w:styleId="68084E9E46464EF48780E87A216EB529">
    <w:name w:val="68084E9E46464EF48780E87A216EB5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[SHORT PAPER: USE OF LEASES]</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Pep19</b:Tag>
    <b:SourceType>InternetSite</b:SourceType>
    <b:Guid>{F67F5950-11ED-4EF4-BAC0-E1498503D930}</b:Guid>
    <b:Author>
      <b:Author>
        <b:NameList>
          <b:Person>
            <b:Last>PepsiCo</b:Last>
          </b:Person>
        </b:NameList>
      </b:Author>
    </b:Author>
    <b:Title>FORM 10-K</b:Title>
    <b:InternetSiteTitle>Annual Report 2018</b:InternetSiteTitle>
    <b:Year>2019</b:Year>
    <b:Month>June</b:Month>
    <b:Day>30</b:Day>
    <b:URL>https://www.pepsico.com/docs/album/annual-reports/2018-annual-report.pdf?sfvrsn=35d1d2bc_2</b:URL>
    <b:RefOrder>2</b:RefOrder>
  </b:Source>
  <b:Source>
    <b:Tag>The19</b:Tag>
    <b:SourceType>InternetSite</b:SourceType>
    <b:Guid>{11EE3EFE-25C6-4FDB-AFA8-93BEB53AB3A2}</b:Guid>
    <b:Author>
      <b:Author>
        <b:NameList>
          <b:Person>
            <b:Last>Company</b:Last>
            <b:First>The</b:First>
            <b:Middle>Coca Cola</b:Middle>
          </b:Person>
        </b:NameList>
      </b:Author>
    </b:Author>
    <b:Title>Form 10-K</b:Title>
    <b:InternetSiteTitle>www.coca-colacompany.com</b:InternetSiteTitle>
    <b:Year>2019</b:Year>
    <b:Month>June</b:Month>
    <b:Day>30</b:Day>
    <b:URL>https://www.coca-colacompany.com/content/dam/journey/us/en/private/fileassets/pdf/2019/annual-shareholders-meeting/2018-Annual-Report-on-Form-10-K.pdf</b:URL>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B569E4-E2C8-47FE-97F1-697D89BA5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93</TotalTime>
  <Pages>4</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Short Paper: Use of Leases</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Paper: Use of Leases</dc:title>
  <dc:subject/>
  <dc:creator>dell</dc:creator>
  <cp:keywords/>
  <dc:description/>
  <cp:lastModifiedBy>dell</cp:lastModifiedBy>
  <cp:revision>4</cp:revision>
  <dcterms:created xsi:type="dcterms:W3CDTF">2019-06-29T20:46:00Z</dcterms:created>
  <dcterms:modified xsi:type="dcterms:W3CDTF">2019-06-30T04:59:00Z</dcterms:modified>
</cp:coreProperties>
</file>