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99681" w14:textId="7EF73F8D" w:rsidR="00844B59" w:rsidRPr="00353020" w:rsidRDefault="00353020">
      <w:pPr>
        <w:pStyle w:val="Body"/>
        <w:rPr>
          <w:rFonts w:ascii="Times New Roman" w:hAnsi="Times New Roman" w:cs="Times New Roman"/>
        </w:rPr>
      </w:pPr>
      <w:r w:rsidRPr="00353020">
        <w:rPr>
          <w:rFonts w:ascii="Times New Roman" w:hAnsi="Times New Roman" w:cs="Times New Roman"/>
          <w:b/>
          <w:bCs/>
          <w:i/>
          <w:iCs/>
        </w:rPr>
        <w:t>Byrne v. Cleveland Clinic</w:t>
      </w:r>
      <w:r w:rsidRPr="00353020">
        <w:rPr>
          <w:rFonts w:ascii="Times New Roman" w:hAnsi="Times New Roman" w:cs="Times New Roman"/>
        </w:rPr>
        <w:t>, No. 12-4033 (3d Cir. Mar. 19, 2013)</w:t>
      </w:r>
    </w:p>
    <w:p w14:paraId="143FC4C2" w14:textId="77777777" w:rsidR="00844B59" w:rsidRDefault="00844B59">
      <w:pPr>
        <w:pStyle w:val="Body"/>
      </w:pPr>
    </w:p>
    <w:tbl>
      <w:tblPr>
        <w:tblW w:w="8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7"/>
        <w:gridCol w:w="6273"/>
      </w:tblGrid>
      <w:tr w:rsidR="00844B59" w14:paraId="1B69E7CF" w14:textId="77777777">
        <w:trPr>
          <w:trHeight w:val="4080"/>
        </w:trPr>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BFD8C" w14:textId="77777777" w:rsidR="00844B59" w:rsidRDefault="00664D9F">
            <w:pPr>
              <w:pStyle w:val="Body"/>
            </w:pPr>
            <w:r>
              <w:t>Facts of the Case</w:t>
            </w:r>
          </w:p>
          <w:p w14:paraId="62EAD11A" w14:textId="77777777" w:rsidR="00844B59" w:rsidRDefault="00664D9F">
            <w:pPr>
              <w:pStyle w:val="ListParagraph"/>
              <w:numPr>
                <w:ilvl w:val="0"/>
                <w:numId w:val="1"/>
              </w:numPr>
              <w:rPr>
                <w:sz w:val="20"/>
                <w:szCs w:val="20"/>
              </w:rPr>
            </w:pPr>
            <w:r>
              <w:rPr>
                <w:sz w:val="20"/>
                <w:szCs w:val="20"/>
              </w:rPr>
              <w:t xml:space="preserve">What happened?  </w:t>
            </w:r>
          </w:p>
          <w:p w14:paraId="6564CC5A" w14:textId="77777777" w:rsidR="00844B59" w:rsidRDefault="00664D9F">
            <w:pPr>
              <w:pStyle w:val="ListParagraph"/>
              <w:numPr>
                <w:ilvl w:val="0"/>
                <w:numId w:val="1"/>
              </w:numPr>
              <w:rPr>
                <w:sz w:val="20"/>
                <w:szCs w:val="20"/>
              </w:rPr>
            </w:pPr>
            <w:r>
              <w:rPr>
                <w:sz w:val="20"/>
                <w:szCs w:val="20"/>
              </w:rPr>
              <w:t xml:space="preserve">Focus on legally significant facts (facts that mattered to the outcome of the case).  </w:t>
            </w:r>
          </w:p>
          <w:p w14:paraId="670086D6" w14:textId="77777777" w:rsidR="00844B59" w:rsidRDefault="00664D9F">
            <w:pPr>
              <w:pStyle w:val="ListParagraph"/>
              <w:numPr>
                <w:ilvl w:val="0"/>
                <w:numId w:val="1"/>
              </w:numPr>
              <w:rPr>
                <w:sz w:val="20"/>
                <w:szCs w:val="20"/>
              </w:rPr>
            </w:pPr>
            <w:r>
              <w:rPr>
                <w:sz w:val="20"/>
                <w:szCs w:val="20"/>
              </w:rPr>
              <w:t xml:space="preserve">Refer to parties descriptively (i.e., buyer/seller, not </w:t>
            </w:r>
            <w:r>
              <w:rPr>
                <w:sz w:val="20"/>
                <w:szCs w:val="20"/>
              </w:rPr>
              <w:t>plaintiff/defendant).</w:t>
            </w:r>
          </w:p>
          <w:p w14:paraId="1A41C066" w14:textId="77777777" w:rsidR="00844B59" w:rsidRDefault="00844B59">
            <w:pPr>
              <w:pStyle w:val="Body"/>
            </w:pPr>
          </w:p>
          <w:p w14:paraId="677EB7CF" w14:textId="77777777" w:rsidR="00844B59" w:rsidRDefault="00844B59">
            <w:pPr>
              <w:pStyle w:val="Body"/>
            </w:pPr>
          </w:p>
          <w:p w14:paraId="035E673B" w14:textId="77777777" w:rsidR="00844B59" w:rsidRDefault="00844B59">
            <w:pPr>
              <w:pStyle w:val="Body"/>
            </w:pPr>
          </w:p>
          <w:p w14:paraId="57AAEC8B" w14:textId="77777777" w:rsidR="00844B59" w:rsidRDefault="00844B59">
            <w:pPr>
              <w:pStyle w:val="Body"/>
            </w:pPr>
          </w:p>
          <w:p w14:paraId="53416D7B" w14:textId="77777777" w:rsidR="00844B59" w:rsidRDefault="00844B59">
            <w:pPr>
              <w:pStyle w:val="Body"/>
            </w:pPr>
          </w:p>
        </w:tc>
        <w:tc>
          <w:tcPr>
            <w:tcW w:w="6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00F8A" w14:textId="10D6253A" w:rsidR="00D410FA" w:rsidRDefault="00141011">
            <w:r w:rsidRPr="00141011">
              <w:t xml:space="preserve">The case involved William F. Byrne (plaintiff), who claimed that the Cleveland Clinic and Chester Country Hospital (defendants) breached the Emergency Medical Treatment and Active Labor Act (“EMTALA”). The contract claimed to be breached under the law of Pennsylvania. The plaintiff asserted that the hospitals did not treat him on an emergency basis, and he had to wait for many hours before accessing medical care. </w:t>
            </w:r>
          </w:p>
          <w:p w14:paraId="1011F17C" w14:textId="323D34CE" w:rsidR="00ED6D84" w:rsidRDefault="00ED6D84"/>
        </w:tc>
      </w:tr>
      <w:tr w:rsidR="00844B59" w14:paraId="4E44E071" w14:textId="77777777">
        <w:trPr>
          <w:trHeight w:val="4060"/>
        </w:trPr>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EA7CC" w14:textId="77777777" w:rsidR="00844B59" w:rsidRDefault="00664D9F">
            <w:pPr>
              <w:pStyle w:val="Body"/>
            </w:pPr>
            <w:r>
              <w:t>Procedural Facts</w:t>
            </w:r>
          </w:p>
          <w:p w14:paraId="06A80E69" w14:textId="77777777" w:rsidR="00844B59" w:rsidRDefault="00664D9F">
            <w:pPr>
              <w:pStyle w:val="Body"/>
              <w:rPr>
                <w:sz w:val="20"/>
                <w:szCs w:val="20"/>
              </w:rPr>
            </w:pPr>
            <w:r>
              <w:rPr>
                <w:sz w:val="20"/>
                <w:szCs w:val="20"/>
              </w:rPr>
              <w:t>Explain the actions taken in the lower courts</w:t>
            </w:r>
          </w:p>
          <w:p w14:paraId="783D88B0" w14:textId="77777777" w:rsidR="00844B59" w:rsidRDefault="00664D9F">
            <w:pPr>
              <w:pStyle w:val="ListParagraph"/>
              <w:numPr>
                <w:ilvl w:val="0"/>
                <w:numId w:val="2"/>
              </w:numPr>
              <w:rPr>
                <w:sz w:val="20"/>
                <w:szCs w:val="20"/>
              </w:rPr>
            </w:pPr>
            <w:r>
              <w:rPr>
                <w:sz w:val="20"/>
                <w:szCs w:val="20"/>
              </w:rPr>
              <w:t xml:space="preserve">Who sued whom for what claim?  </w:t>
            </w:r>
          </w:p>
          <w:p w14:paraId="6BB1D121" w14:textId="77777777" w:rsidR="00844B59" w:rsidRDefault="00664D9F">
            <w:pPr>
              <w:pStyle w:val="ListParagraph"/>
              <w:numPr>
                <w:ilvl w:val="0"/>
                <w:numId w:val="2"/>
              </w:numPr>
              <w:rPr>
                <w:sz w:val="20"/>
                <w:szCs w:val="20"/>
              </w:rPr>
            </w:pPr>
            <w:r>
              <w:rPr>
                <w:sz w:val="20"/>
                <w:szCs w:val="20"/>
              </w:rPr>
              <w:t>Who won at the trial court level?</w:t>
            </w:r>
          </w:p>
          <w:p w14:paraId="1FB0CF4F" w14:textId="77777777" w:rsidR="00844B59" w:rsidRDefault="00664D9F">
            <w:pPr>
              <w:pStyle w:val="ListParagraph"/>
              <w:numPr>
                <w:ilvl w:val="0"/>
                <w:numId w:val="2"/>
              </w:numPr>
              <w:rPr>
                <w:sz w:val="20"/>
                <w:szCs w:val="20"/>
              </w:rPr>
            </w:pPr>
            <w:r>
              <w:rPr>
                <w:sz w:val="20"/>
                <w:szCs w:val="20"/>
              </w:rPr>
              <w:t>Who appealed and why?</w:t>
            </w:r>
          </w:p>
          <w:p w14:paraId="5D0DC7F7" w14:textId="77777777" w:rsidR="00844B59" w:rsidRDefault="00664D9F">
            <w:pPr>
              <w:pStyle w:val="ListParagraph"/>
              <w:numPr>
                <w:ilvl w:val="0"/>
                <w:numId w:val="2"/>
              </w:numPr>
              <w:rPr>
                <w:sz w:val="20"/>
                <w:szCs w:val="20"/>
              </w:rPr>
            </w:pPr>
            <w:r>
              <w:rPr>
                <w:sz w:val="20"/>
                <w:szCs w:val="20"/>
              </w:rPr>
              <w:t xml:space="preserve">If Supreme Court opinion, who won at the appellate court level? Who </w:t>
            </w:r>
            <w:r>
              <w:rPr>
                <w:sz w:val="20"/>
                <w:szCs w:val="20"/>
              </w:rPr>
              <w:t>appealed and why?</w:t>
            </w:r>
          </w:p>
          <w:p w14:paraId="74BD2665" w14:textId="77777777" w:rsidR="00844B59" w:rsidRDefault="00844B59">
            <w:pPr>
              <w:pStyle w:val="Body"/>
            </w:pPr>
          </w:p>
          <w:p w14:paraId="1776DE77" w14:textId="77777777" w:rsidR="00844B59" w:rsidRDefault="00844B59">
            <w:pPr>
              <w:pStyle w:val="Body"/>
            </w:pPr>
          </w:p>
        </w:tc>
        <w:tc>
          <w:tcPr>
            <w:tcW w:w="6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DC0A4" w14:textId="77777777" w:rsidR="0020225C" w:rsidRPr="0020225C" w:rsidRDefault="0020225C" w:rsidP="0020225C">
            <w:pPr>
              <w:jc w:val="both"/>
              <w:rPr>
                <w:color w:val="000000"/>
                <w:shd w:val="clear" w:color="auto" w:fill="FFFFFF"/>
              </w:rPr>
            </w:pPr>
            <w:r w:rsidRPr="0020225C">
              <w:rPr>
                <w:color w:val="000000"/>
                <w:shd w:val="clear" w:color="auto" w:fill="FFFFFF"/>
              </w:rPr>
              <w:t>Mr. Byrne complained in court, IFP application filed, but the complaint was dismissed.</w:t>
            </w:r>
          </w:p>
          <w:p w14:paraId="60D4428C" w14:textId="77777777" w:rsidR="0020225C" w:rsidRPr="0020225C" w:rsidRDefault="0020225C" w:rsidP="0020225C">
            <w:pPr>
              <w:jc w:val="both"/>
              <w:rPr>
                <w:color w:val="000000"/>
                <w:shd w:val="clear" w:color="auto" w:fill="FFFFFF"/>
              </w:rPr>
            </w:pPr>
            <w:r w:rsidRPr="0020225C">
              <w:rPr>
                <w:color w:val="000000"/>
                <w:shd w:val="clear" w:color="auto" w:fill="FFFFFF"/>
              </w:rPr>
              <w:t>Mr. Byrne again filed an amended complaint after several weeks</w:t>
            </w:r>
          </w:p>
          <w:p w14:paraId="4A09CF13" w14:textId="77777777" w:rsidR="0020225C" w:rsidRPr="0020225C" w:rsidRDefault="0020225C" w:rsidP="0020225C">
            <w:pPr>
              <w:jc w:val="both"/>
              <w:rPr>
                <w:color w:val="000000"/>
                <w:shd w:val="clear" w:color="auto" w:fill="FFFFFF"/>
              </w:rPr>
            </w:pPr>
            <w:r w:rsidRPr="0020225C">
              <w:rPr>
                <w:color w:val="000000"/>
                <w:shd w:val="clear" w:color="auto" w:fill="FFFFFF"/>
              </w:rPr>
              <w:t>The defendant challenged the amended complaint and request for its dismissal.</w:t>
            </w:r>
          </w:p>
          <w:p w14:paraId="7559DA0D" w14:textId="77777777" w:rsidR="0020225C" w:rsidRPr="0020225C" w:rsidRDefault="0020225C" w:rsidP="0020225C">
            <w:pPr>
              <w:jc w:val="both"/>
              <w:rPr>
                <w:color w:val="000000"/>
                <w:shd w:val="clear" w:color="auto" w:fill="FFFFFF"/>
              </w:rPr>
            </w:pPr>
            <w:r w:rsidRPr="0020225C">
              <w:rPr>
                <w:color w:val="000000"/>
                <w:shd w:val="clear" w:color="auto" w:fill="FFFFFF"/>
              </w:rPr>
              <w:t xml:space="preserve">Plaintiff insisted on proceeding the claim according to the </w:t>
            </w:r>
          </w:p>
          <w:p w14:paraId="464132C1" w14:textId="130F0FE0" w:rsidR="008052DC" w:rsidRDefault="0020225C" w:rsidP="0020225C">
            <w:pPr>
              <w:jc w:val="both"/>
            </w:pPr>
            <w:r w:rsidRPr="0020225C">
              <w:rPr>
                <w:color w:val="000000"/>
                <w:shd w:val="clear" w:color="auto" w:fill="FFFFFF"/>
              </w:rPr>
              <w:t>marshal appropriate case law.</w:t>
            </w:r>
          </w:p>
        </w:tc>
      </w:tr>
      <w:tr w:rsidR="00844B59" w14:paraId="748D3042" w14:textId="77777777">
        <w:trPr>
          <w:trHeight w:val="1260"/>
        </w:trPr>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33015" w14:textId="77777777" w:rsidR="00844B59" w:rsidRDefault="00664D9F">
            <w:pPr>
              <w:pStyle w:val="Body"/>
              <w:rPr>
                <w:sz w:val="20"/>
                <w:szCs w:val="20"/>
              </w:rPr>
            </w:pPr>
            <w:r>
              <w:t xml:space="preserve">Issue </w:t>
            </w:r>
          </w:p>
          <w:p w14:paraId="4F387816" w14:textId="77777777" w:rsidR="00844B59" w:rsidRDefault="00664D9F">
            <w:pPr>
              <w:pStyle w:val="Body"/>
              <w:rPr>
                <w:sz w:val="20"/>
                <w:szCs w:val="20"/>
              </w:rPr>
            </w:pPr>
            <w:r>
              <w:rPr>
                <w:sz w:val="20"/>
                <w:szCs w:val="20"/>
              </w:rPr>
              <w:t>Should be in the form of a question.</w:t>
            </w:r>
          </w:p>
          <w:p w14:paraId="4463B165" w14:textId="77777777" w:rsidR="00844B59" w:rsidRDefault="00844B59">
            <w:pPr>
              <w:pStyle w:val="Body"/>
            </w:pPr>
          </w:p>
        </w:tc>
        <w:tc>
          <w:tcPr>
            <w:tcW w:w="6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93B85" w14:textId="1CB75B3C" w:rsidR="00844B59" w:rsidRDefault="0030615D" w:rsidP="00ED6D84">
            <w:r>
              <w:t xml:space="preserve">Did </w:t>
            </w:r>
            <w:r>
              <w:t>Mr. Byrne file his complaint within the applicable statutes of limitations</w:t>
            </w:r>
            <w:r>
              <w:t>?</w:t>
            </w:r>
          </w:p>
        </w:tc>
      </w:tr>
      <w:tr w:rsidR="00844B59" w14:paraId="10B56C94" w14:textId="77777777">
        <w:trPr>
          <w:trHeight w:val="2160"/>
        </w:trPr>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15719" w14:textId="77777777" w:rsidR="00844B59" w:rsidRDefault="00664D9F">
            <w:pPr>
              <w:pStyle w:val="Body"/>
            </w:pPr>
            <w:r>
              <w:t>Holding</w:t>
            </w:r>
          </w:p>
          <w:p w14:paraId="67F7557D" w14:textId="77777777" w:rsidR="00844B59" w:rsidRDefault="00664D9F">
            <w:pPr>
              <w:pStyle w:val="Body"/>
              <w:rPr>
                <w:sz w:val="20"/>
                <w:szCs w:val="20"/>
              </w:rPr>
            </w:pPr>
            <w:r>
              <w:rPr>
                <w:sz w:val="20"/>
                <w:szCs w:val="20"/>
              </w:rPr>
              <w:t>Should be a yes/no answer to the Issue, followed by Rule.</w:t>
            </w:r>
          </w:p>
          <w:p w14:paraId="16977C79" w14:textId="77777777" w:rsidR="00844B59" w:rsidRDefault="00844B59">
            <w:pPr>
              <w:pStyle w:val="Body"/>
            </w:pPr>
          </w:p>
          <w:p w14:paraId="4C8EDC30" w14:textId="77777777" w:rsidR="00844B59" w:rsidRDefault="00844B59">
            <w:pPr>
              <w:pStyle w:val="Body"/>
            </w:pPr>
          </w:p>
          <w:p w14:paraId="1FA1FA0D" w14:textId="77777777" w:rsidR="00844B59" w:rsidRDefault="00844B59">
            <w:pPr>
              <w:pStyle w:val="Body"/>
            </w:pPr>
          </w:p>
        </w:tc>
        <w:tc>
          <w:tcPr>
            <w:tcW w:w="6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28BAF" w14:textId="138D3F07" w:rsidR="00844B59" w:rsidRDefault="00264064">
            <w:r w:rsidRPr="00264064">
              <w:t>No, the complaint was not filed within the applicable statutes of limitations (Federal Rules of Civil Procedure 12(b)(1) and 12(b)(6</w:t>
            </w:r>
            <w:proofErr w:type="gramStart"/>
            <w:r w:rsidRPr="00264064">
              <w:t>) )</w:t>
            </w:r>
            <w:proofErr w:type="gramEnd"/>
          </w:p>
        </w:tc>
      </w:tr>
      <w:tr w:rsidR="00844B59" w14:paraId="63109173" w14:textId="77777777">
        <w:trPr>
          <w:trHeight w:val="3162"/>
        </w:trPr>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31F7E" w14:textId="77777777" w:rsidR="00844B59" w:rsidRDefault="00664D9F">
            <w:pPr>
              <w:pStyle w:val="Body"/>
            </w:pPr>
            <w:r>
              <w:lastRenderedPageBreak/>
              <w:t>Rationale</w:t>
            </w:r>
          </w:p>
          <w:p w14:paraId="47ABE151" w14:textId="77777777" w:rsidR="00844B59" w:rsidRDefault="00664D9F">
            <w:pPr>
              <w:pStyle w:val="Body"/>
              <w:rPr>
                <w:sz w:val="20"/>
                <w:szCs w:val="20"/>
              </w:rPr>
            </w:pPr>
            <w:r>
              <w:rPr>
                <w:sz w:val="20"/>
                <w:szCs w:val="20"/>
              </w:rPr>
              <w:t>Explain the basic reasoning that the court used to reach its decision.</w:t>
            </w:r>
          </w:p>
          <w:p w14:paraId="27EFB146" w14:textId="77777777" w:rsidR="00844B59" w:rsidRDefault="00664D9F">
            <w:pPr>
              <w:pStyle w:val="Body"/>
              <w:rPr>
                <w:sz w:val="20"/>
                <w:szCs w:val="20"/>
              </w:rPr>
            </w:pPr>
            <w:r>
              <w:rPr>
                <w:sz w:val="20"/>
                <w:szCs w:val="20"/>
              </w:rPr>
              <w:t xml:space="preserve">Outline </w:t>
            </w:r>
            <w:r>
              <w:rPr>
                <w:sz w:val="20"/>
                <w:szCs w:val="20"/>
              </w:rPr>
              <w:t>point-by-point using bullets or numbered paragraphs.</w:t>
            </w:r>
          </w:p>
          <w:p w14:paraId="3170A3E5" w14:textId="77777777" w:rsidR="00844B59" w:rsidRDefault="00844B59">
            <w:pPr>
              <w:pStyle w:val="Body"/>
              <w:rPr>
                <w:sz w:val="20"/>
                <w:szCs w:val="20"/>
              </w:rPr>
            </w:pPr>
          </w:p>
          <w:p w14:paraId="494C5D62" w14:textId="77777777" w:rsidR="00844B59" w:rsidRDefault="00844B59">
            <w:pPr>
              <w:pStyle w:val="Body"/>
              <w:rPr>
                <w:sz w:val="20"/>
                <w:szCs w:val="20"/>
              </w:rPr>
            </w:pPr>
          </w:p>
          <w:p w14:paraId="11A76699" w14:textId="77777777" w:rsidR="00844B59" w:rsidRDefault="00844B59">
            <w:pPr>
              <w:pStyle w:val="Body"/>
              <w:rPr>
                <w:sz w:val="20"/>
                <w:szCs w:val="20"/>
              </w:rPr>
            </w:pPr>
          </w:p>
          <w:p w14:paraId="5E17C7EF" w14:textId="77777777" w:rsidR="00844B59" w:rsidRDefault="00844B59">
            <w:pPr>
              <w:pStyle w:val="Body"/>
              <w:rPr>
                <w:sz w:val="20"/>
                <w:szCs w:val="20"/>
              </w:rPr>
            </w:pPr>
          </w:p>
          <w:p w14:paraId="515DF92F" w14:textId="77777777" w:rsidR="00844B59" w:rsidRDefault="00844B59">
            <w:pPr>
              <w:pStyle w:val="Body"/>
              <w:rPr>
                <w:sz w:val="20"/>
                <w:szCs w:val="20"/>
              </w:rPr>
            </w:pPr>
          </w:p>
          <w:p w14:paraId="1D2D665B" w14:textId="77777777" w:rsidR="00844B59" w:rsidRDefault="00844B59">
            <w:pPr>
              <w:pStyle w:val="Body"/>
            </w:pPr>
          </w:p>
        </w:tc>
        <w:tc>
          <w:tcPr>
            <w:tcW w:w="6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AB781" w14:textId="29D817C0" w:rsidR="00ED6D84" w:rsidRDefault="00ED6D84" w:rsidP="001B194F">
            <w:pPr>
              <w:pStyle w:val="ListParagraph"/>
              <w:numPr>
                <w:ilvl w:val="0"/>
                <w:numId w:val="4"/>
              </w:numPr>
            </w:pPr>
            <w:r w:rsidRPr="00ED6D84">
              <w:t>Entitlement as Matter of Law, Appropriateness</w:t>
            </w:r>
          </w:p>
          <w:p w14:paraId="2E2BE1F5" w14:textId="34CC03C1" w:rsidR="00844B59" w:rsidRDefault="00ED6D84" w:rsidP="001B194F">
            <w:pPr>
              <w:pStyle w:val="ListParagraph"/>
              <w:numPr>
                <w:ilvl w:val="0"/>
                <w:numId w:val="4"/>
              </w:numPr>
            </w:pPr>
            <w:r w:rsidRPr="00ED6D84">
              <w:t>Emergency Care Negligence, Patient Ant</w:t>
            </w:r>
            <w:r w:rsidR="003A272A">
              <w:t>-</w:t>
            </w:r>
            <w:r w:rsidR="001B194F">
              <w:t xml:space="preserve"> </w:t>
            </w:r>
            <w:r w:rsidRPr="00ED6D84">
              <w:t>Dumping Act</w:t>
            </w:r>
          </w:p>
          <w:p w14:paraId="11B8DCF5" w14:textId="11515796" w:rsidR="003A272A" w:rsidRDefault="003A272A" w:rsidP="001B194F">
            <w:pPr>
              <w:pStyle w:val="ListParagraph"/>
              <w:numPr>
                <w:ilvl w:val="0"/>
                <w:numId w:val="4"/>
              </w:numPr>
            </w:pPr>
            <w:r>
              <w:t xml:space="preserve">The parties are not directly involved into a contract </w:t>
            </w:r>
          </w:p>
          <w:p w14:paraId="7899C67E" w14:textId="77777777" w:rsidR="003A272A" w:rsidRDefault="003A272A" w:rsidP="00C03A1E">
            <w:pPr>
              <w:pStyle w:val="ListParagraph"/>
            </w:pPr>
          </w:p>
          <w:p w14:paraId="71BC6235" w14:textId="1D32D016" w:rsidR="00ED6D84" w:rsidRDefault="00ED6D84"/>
        </w:tc>
      </w:tr>
      <w:tr w:rsidR="00844B59" w14:paraId="7CCF8301" w14:textId="77777777">
        <w:trPr>
          <w:trHeight w:val="2220"/>
        </w:trPr>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8CEE8" w14:textId="77777777" w:rsidR="00844B59" w:rsidRDefault="00664D9F">
            <w:pPr>
              <w:pStyle w:val="Body"/>
            </w:pPr>
            <w:r>
              <w:t>Dicta</w:t>
            </w:r>
          </w:p>
          <w:p w14:paraId="201663DD" w14:textId="77777777" w:rsidR="00844B59" w:rsidRDefault="00664D9F">
            <w:pPr>
              <w:pStyle w:val="Body"/>
              <w:rPr>
                <w:sz w:val="20"/>
                <w:szCs w:val="20"/>
              </w:rPr>
            </w:pPr>
            <w:r>
              <w:rPr>
                <w:sz w:val="20"/>
                <w:szCs w:val="20"/>
              </w:rPr>
              <w:t xml:space="preserve">Dicta refers to statements by the court that are tangential or not relevant to the actual holding.  </w:t>
            </w:r>
          </w:p>
          <w:p w14:paraId="1601D700" w14:textId="77777777" w:rsidR="00844B59" w:rsidRDefault="00844B59">
            <w:pPr>
              <w:pStyle w:val="Body"/>
              <w:rPr>
                <w:sz w:val="20"/>
                <w:szCs w:val="20"/>
              </w:rPr>
            </w:pPr>
          </w:p>
          <w:p w14:paraId="5FA1D9F0" w14:textId="77777777" w:rsidR="00844B59" w:rsidRDefault="00664D9F">
            <w:pPr>
              <w:pStyle w:val="Body"/>
              <w:rPr>
                <w:sz w:val="20"/>
                <w:szCs w:val="20"/>
              </w:rPr>
            </w:pPr>
            <w:r>
              <w:rPr>
                <w:sz w:val="20"/>
                <w:szCs w:val="20"/>
              </w:rPr>
              <w:t xml:space="preserve">Note here any </w:t>
            </w:r>
            <w:r>
              <w:rPr>
                <w:sz w:val="20"/>
                <w:szCs w:val="20"/>
                <w:u w:val="single"/>
              </w:rPr>
              <w:t>useful</w:t>
            </w:r>
            <w:r>
              <w:rPr>
                <w:sz w:val="20"/>
                <w:szCs w:val="20"/>
              </w:rPr>
              <w:t xml:space="preserve"> dicta.  </w:t>
            </w:r>
          </w:p>
          <w:p w14:paraId="5F32BC34" w14:textId="77777777" w:rsidR="00844B59" w:rsidRDefault="00844B59">
            <w:pPr>
              <w:pStyle w:val="Body"/>
            </w:pPr>
          </w:p>
        </w:tc>
        <w:tc>
          <w:tcPr>
            <w:tcW w:w="6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602EA" w14:textId="77777777" w:rsidR="004C4A74" w:rsidRDefault="004C4A74" w:rsidP="004C4A74">
            <w:pPr>
              <w:pStyle w:val="ListParagraph"/>
              <w:numPr>
                <w:ilvl w:val="0"/>
                <w:numId w:val="5"/>
              </w:numPr>
            </w:pPr>
            <w:r>
              <w:t xml:space="preserve">The plaintiff brought a stabilization claim under EMTALA that is not a federal malpractice statute; rather is a statute related to anti-discrimination. </w:t>
            </w:r>
          </w:p>
          <w:p w14:paraId="386B05EF" w14:textId="170AC5DE" w:rsidR="00844B59" w:rsidRDefault="004C4A74" w:rsidP="004C4A74">
            <w:pPr>
              <w:numPr>
                <w:ilvl w:val="0"/>
                <w:numId w:val="5"/>
              </w:numPr>
            </w:pPr>
            <w:bookmarkStart w:id="0" w:name="_GoBack"/>
            <w:bookmarkEnd w:id="0"/>
            <w:r>
              <w:t>Breach of the implied contract; not actual, verbal, or written one</w:t>
            </w:r>
          </w:p>
        </w:tc>
      </w:tr>
      <w:tr w:rsidR="00844B59" w14:paraId="6A8A064F" w14:textId="77777777">
        <w:trPr>
          <w:trHeight w:val="4342"/>
        </w:trPr>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1ADC2" w14:textId="77777777" w:rsidR="00844B59" w:rsidRDefault="00664D9F">
            <w:pPr>
              <w:pStyle w:val="Body"/>
              <w:rPr>
                <w:sz w:val="20"/>
                <w:szCs w:val="20"/>
              </w:rPr>
            </w:pPr>
            <w:r>
              <w:t xml:space="preserve">Dissent/Concurring Opinions </w:t>
            </w:r>
          </w:p>
          <w:p w14:paraId="4FD3B0A2" w14:textId="77777777" w:rsidR="00844B59" w:rsidRDefault="00664D9F">
            <w:pPr>
              <w:pStyle w:val="Body"/>
              <w:rPr>
                <w:sz w:val="20"/>
                <w:szCs w:val="20"/>
              </w:rPr>
            </w:pPr>
            <w:r>
              <w:rPr>
                <w:sz w:val="20"/>
                <w:szCs w:val="20"/>
              </w:rPr>
              <w:t>Identify author of the opinion.</w:t>
            </w:r>
          </w:p>
          <w:p w14:paraId="072C29CC" w14:textId="77777777" w:rsidR="00844B59" w:rsidRDefault="00664D9F">
            <w:pPr>
              <w:pStyle w:val="Body"/>
              <w:rPr>
                <w:sz w:val="20"/>
                <w:szCs w:val="20"/>
              </w:rPr>
            </w:pPr>
            <w:r>
              <w:rPr>
                <w:sz w:val="20"/>
                <w:szCs w:val="20"/>
              </w:rPr>
              <w:t>Identify why the author is dissenting – does the author disagree with the majority’s reasoning or with the result (or both)?</w:t>
            </w:r>
          </w:p>
          <w:p w14:paraId="444C1CA6" w14:textId="77777777" w:rsidR="00844B59" w:rsidRDefault="00664D9F">
            <w:pPr>
              <w:pStyle w:val="Body"/>
              <w:rPr>
                <w:sz w:val="20"/>
                <w:szCs w:val="20"/>
              </w:rPr>
            </w:pPr>
            <w:r>
              <w:rPr>
                <w:sz w:val="20"/>
                <w:szCs w:val="20"/>
              </w:rPr>
              <w:t>Outline reasoning point-by-point using bullets or numbered paragraphs.</w:t>
            </w:r>
          </w:p>
          <w:p w14:paraId="36F3E638" w14:textId="77777777" w:rsidR="00844B59" w:rsidRDefault="00844B59">
            <w:pPr>
              <w:pStyle w:val="Body"/>
              <w:rPr>
                <w:sz w:val="20"/>
                <w:szCs w:val="20"/>
              </w:rPr>
            </w:pPr>
          </w:p>
          <w:p w14:paraId="45D3CAFC" w14:textId="77777777" w:rsidR="00844B59" w:rsidRDefault="00844B59">
            <w:pPr>
              <w:pStyle w:val="Body"/>
              <w:rPr>
                <w:sz w:val="20"/>
                <w:szCs w:val="20"/>
              </w:rPr>
            </w:pPr>
          </w:p>
          <w:p w14:paraId="691EFAD0" w14:textId="77777777" w:rsidR="00844B59" w:rsidRDefault="00844B59">
            <w:pPr>
              <w:pStyle w:val="Body"/>
              <w:rPr>
                <w:sz w:val="20"/>
                <w:szCs w:val="20"/>
              </w:rPr>
            </w:pPr>
          </w:p>
          <w:p w14:paraId="6488F286" w14:textId="77777777" w:rsidR="00844B59" w:rsidRDefault="00844B59">
            <w:pPr>
              <w:pStyle w:val="Body"/>
              <w:rPr>
                <w:sz w:val="20"/>
                <w:szCs w:val="20"/>
              </w:rPr>
            </w:pPr>
          </w:p>
          <w:p w14:paraId="74CCED45" w14:textId="77777777" w:rsidR="00844B59" w:rsidRDefault="00844B59">
            <w:pPr>
              <w:pStyle w:val="Body"/>
              <w:rPr>
                <w:sz w:val="20"/>
                <w:szCs w:val="20"/>
              </w:rPr>
            </w:pPr>
          </w:p>
          <w:p w14:paraId="74B77429" w14:textId="77777777" w:rsidR="00844B59" w:rsidRDefault="00844B59">
            <w:pPr>
              <w:pStyle w:val="Body"/>
            </w:pPr>
          </w:p>
        </w:tc>
        <w:tc>
          <w:tcPr>
            <w:tcW w:w="6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05217" w14:textId="687D1445" w:rsidR="00844B59" w:rsidRDefault="005A4E1E">
            <w:r>
              <w:t>N/A</w:t>
            </w:r>
          </w:p>
        </w:tc>
      </w:tr>
    </w:tbl>
    <w:p w14:paraId="4C20E941" w14:textId="77777777" w:rsidR="00844B59" w:rsidRDefault="00844B59">
      <w:pPr>
        <w:pStyle w:val="Body"/>
        <w:widowControl w:val="0"/>
      </w:pPr>
    </w:p>
    <w:sectPr w:rsidR="00844B59">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A6970" w14:textId="77777777" w:rsidR="00664D9F" w:rsidRDefault="00664D9F">
      <w:r>
        <w:separator/>
      </w:r>
    </w:p>
  </w:endnote>
  <w:endnote w:type="continuationSeparator" w:id="0">
    <w:p w14:paraId="5618CE13" w14:textId="77777777" w:rsidR="00664D9F" w:rsidRDefault="0066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C7AA" w14:textId="77777777" w:rsidR="00844B59" w:rsidRDefault="00844B5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64F67" w14:textId="77777777" w:rsidR="00664D9F" w:rsidRDefault="00664D9F">
      <w:r>
        <w:separator/>
      </w:r>
    </w:p>
  </w:footnote>
  <w:footnote w:type="continuationSeparator" w:id="0">
    <w:p w14:paraId="1C699FEA" w14:textId="77777777" w:rsidR="00664D9F" w:rsidRDefault="00664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2260C" w14:textId="77777777" w:rsidR="00844B59" w:rsidRDefault="00664D9F">
    <w:pPr>
      <w:pStyle w:val="Header"/>
      <w:tabs>
        <w:tab w:val="clear" w:pos="8640"/>
        <w:tab w:val="right" w:pos="8620"/>
      </w:tabs>
      <w:rPr>
        <w:sz w:val="20"/>
        <w:szCs w:val="20"/>
      </w:rPr>
    </w:pPr>
    <w:r>
      <w:rPr>
        <w:sz w:val="20"/>
        <w:szCs w:val="20"/>
      </w:rPr>
      <w:t xml:space="preserve">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F6C19"/>
    <w:multiLevelType w:val="hybridMultilevel"/>
    <w:tmpl w:val="7A0A4EF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1657353"/>
    <w:multiLevelType w:val="hybridMultilevel"/>
    <w:tmpl w:val="0352C0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15F098F"/>
    <w:multiLevelType w:val="hybridMultilevel"/>
    <w:tmpl w:val="D3D64B5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3CA5CDD"/>
    <w:multiLevelType w:val="hybridMultilevel"/>
    <w:tmpl w:val="B4AA5BF0"/>
    <w:lvl w:ilvl="0" w:tplc="5BF894F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62EA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CE8C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1816B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46D9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CAB22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C8F5B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04D9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26C0C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42D2797"/>
    <w:multiLevelType w:val="hybridMultilevel"/>
    <w:tmpl w:val="F3A6C9B6"/>
    <w:lvl w:ilvl="0" w:tplc="DBD2C1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92652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A6F4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764C0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2495D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586E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40B4F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C2C3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2878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B59"/>
    <w:rsid w:val="0008405A"/>
    <w:rsid w:val="00141011"/>
    <w:rsid w:val="001B194F"/>
    <w:rsid w:val="001F00A5"/>
    <w:rsid w:val="0020225C"/>
    <w:rsid w:val="00264064"/>
    <w:rsid w:val="0030615D"/>
    <w:rsid w:val="00353020"/>
    <w:rsid w:val="003A272A"/>
    <w:rsid w:val="003D1613"/>
    <w:rsid w:val="004C4A74"/>
    <w:rsid w:val="004E1731"/>
    <w:rsid w:val="005A4E1E"/>
    <w:rsid w:val="00664D9F"/>
    <w:rsid w:val="008052DC"/>
    <w:rsid w:val="00844B59"/>
    <w:rsid w:val="00AB69E2"/>
    <w:rsid w:val="00C03A1E"/>
    <w:rsid w:val="00C350C1"/>
    <w:rsid w:val="00CB514F"/>
    <w:rsid w:val="00CD7885"/>
    <w:rsid w:val="00D410FA"/>
    <w:rsid w:val="00EB5FAB"/>
    <w:rsid w:val="00ED6D84"/>
    <w:rsid w:val="00F90209"/>
    <w:rsid w:val="00F963F0"/>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295A"/>
  <w15:docId w15:val="{F598A85F-3D41-4DEC-AD77-6EC6F980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PK" w:eastAsia="en-P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dc:creator>
  <cp:lastModifiedBy>Me Me</cp:lastModifiedBy>
  <cp:revision>2</cp:revision>
  <dcterms:created xsi:type="dcterms:W3CDTF">2019-10-21T01:28:00Z</dcterms:created>
  <dcterms:modified xsi:type="dcterms:W3CDTF">2019-10-21T01:28:00Z</dcterms:modified>
</cp:coreProperties>
</file>