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38892" w14:textId="77777777" w:rsidR="00E81978" w:rsidRDefault="0072753E">
      <w:pPr>
        <w:pStyle w:val="Title"/>
      </w:pPr>
      <w:r w:rsidRPr="00852ABD">
        <w:t>Keith v. County of Oakland</w:t>
      </w:r>
    </w:p>
    <w:p w14:paraId="52FB17B7" w14:textId="77777777" w:rsidR="00B823AA" w:rsidRDefault="00B823AA" w:rsidP="00B823AA">
      <w:pPr>
        <w:pStyle w:val="Title2"/>
      </w:pPr>
    </w:p>
    <w:p w14:paraId="05C996AF" w14:textId="77777777" w:rsidR="00E81978" w:rsidRDefault="00E81978" w:rsidP="00B823AA">
      <w:pPr>
        <w:pStyle w:val="Title2"/>
      </w:pPr>
    </w:p>
    <w:p w14:paraId="21A66AD4" w14:textId="77777777" w:rsidR="003F5409" w:rsidRDefault="003F5409" w:rsidP="00B823AA">
      <w:pPr>
        <w:pStyle w:val="Title2"/>
      </w:pPr>
    </w:p>
    <w:p w14:paraId="085D03C9" w14:textId="77777777" w:rsidR="003F5409" w:rsidRDefault="003F5409" w:rsidP="00B823AA">
      <w:pPr>
        <w:pStyle w:val="Title2"/>
      </w:pPr>
    </w:p>
    <w:p w14:paraId="7366F568" w14:textId="77777777" w:rsidR="003F5409" w:rsidRDefault="003F5409" w:rsidP="00B823AA">
      <w:pPr>
        <w:pStyle w:val="Title2"/>
      </w:pPr>
    </w:p>
    <w:p w14:paraId="4FE18A3F" w14:textId="77777777" w:rsidR="003F5409" w:rsidRDefault="003F5409" w:rsidP="00B823AA">
      <w:pPr>
        <w:pStyle w:val="Title2"/>
      </w:pPr>
    </w:p>
    <w:p w14:paraId="1A816948" w14:textId="77777777" w:rsidR="003F5409" w:rsidRDefault="003F5409" w:rsidP="00B823AA">
      <w:pPr>
        <w:pStyle w:val="Title2"/>
      </w:pPr>
    </w:p>
    <w:p w14:paraId="71B0B330" w14:textId="77777777" w:rsidR="003F5409" w:rsidRDefault="003F5409" w:rsidP="00B823AA">
      <w:pPr>
        <w:pStyle w:val="Title2"/>
      </w:pPr>
    </w:p>
    <w:p w14:paraId="22D735F2" w14:textId="77777777" w:rsidR="003F5409" w:rsidRDefault="003F5409" w:rsidP="00B823AA">
      <w:pPr>
        <w:pStyle w:val="Title2"/>
      </w:pPr>
    </w:p>
    <w:p w14:paraId="353D41FB" w14:textId="77777777" w:rsidR="003F5409" w:rsidRDefault="003F5409" w:rsidP="00B823AA">
      <w:pPr>
        <w:pStyle w:val="Title2"/>
      </w:pPr>
    </w:p>
    <w:p w14:paraId="0A191573" w14:textId="77777777" w:rsidR="003F5409" w:rsidRDefault="003F5409" w:rsidP="00B823AA">
      <w:pPr>
        <w:pStyle w:val="Title2"/>
      </w:pPr>
    </w:p>
    <w:p w14:paraId="7F589964" w14:textId="77777777" w:rsidR="003F5409" w:rsidRDefault="003F5409" w:rsidP="00B823AA">
      <w:pPr>
        <w:pStyle w:val="Title2"/>
      </w:pPr>
    </w:p>
    <w:p w14:paraId="05018F83" w14:textId="77777777" w:rsidR="003F5409" w:rsidRDefault="003F5409" w:rsidP="00B823AA">
      <w:pPr>
        <w:pStyle w:val="Title2"/>
      </w:pPr>
    </w:p>
    <w:p w14:paraId="27EB4392" w14:textId="77777777" w:rsidR="003F5409" w:rsidRDefault="003F5409" w:rsidP="00B823AA">
      <w:pPr>
        <w:pStyle w:val="Title2"/>
      </w:pPr>
    </w:p>
    <w:p w14:paraId="078C0D9C" w14:textId="77777777" w:rsidR="003F5409" w:rsidRDefault="003F5409" w:rsidP="00B823AA">
      <w:pPr>
        <w:pStyle w:val="Title2"/>
      </w:pPr>
    </w:p>
    <w:p w14:paraId="22F2DDC9" w14:textId="77777777" w:rsidR="003F5409" w:rsidRDefault="003F5409" w:rsidP="00B823AA">
      <w:pPr>
        <w:pStyle w:val="Title2"/>
      </w:pPr>
    </w:p>
    <w:p w14:paraId="5A331FC4" w14:textId="77777777" w:rsidR="003F5409" w:rsidRDefault="003F5409" w:rsidP="00B823AA">
      <w:pPr>
        <w:pStyle w:val="Title2"/>
      </w:pPr>
    </w:p>
    <w:p w14:paraId="7656816F" w14:textId="77777777" w:rsidR="003F5409" w:rsidRDefault="003F5409" w:rsidP="00B823AA">
      <w:pPr>
        <w:pStyle w:val="Title2"/>
      </w:pPr>
    </w:p>
    <w:p w14:paraId="6FB07A5B" w14:textId="77777777" w:rsidR="00852ABD" w:rsidRPr="00813052" w:rsidRDefault="0072753E" w:rsidP="00852ABD">
      <w:pPr>
        <w:pStyle w:val="Title"/>
        <w:rPr>
          <w:rFonts w:ascii="Times New Roman" w:hAnsi="Times New Roman" w:cs="Times New Roman"/>
        </w:rPr>
      </w:pPr>
      <w:r w:rsidRPr="00813052">
        <w:rPr>
          <w:rFonts w:ascii="Times New Roman" w:hAnsi="Times New Roman" w:cs="Times New Roman"/>
        </w:rPr>
        <w:lastRenderedPageBreak/>
        <w:t>Keith v. County of Oakland</w:t>
      </w:r>
    </w:p>
    <w:p w14:paraId="6052D8C9" w14:textId="3B4EB785" w:rsidR="00F82768" w:rsidRPr="00813052" w:rsidRDefault="0072753E" w:rsidP="00852ABD">
      <w:pPr>
        <w:rPr>
          <w:rFonts w:ascii="Times New Roman" w:hAnsi="Times New Roman" w:cs="Times New Roman"/>
        </w:rPr>
      </w:pPr>
      <w:r w:rsidRPr="00813052">
        <w:rPr>
          <w:rFonts w:ascii="Times New Roman" w:hAnsi="Times New Roman" w:cs="Times New Roman"/>
        </w:rPr>
        <w:t xml:space="preserve">  </w:t>
      </w:r>
      <w:r w:rsidR="00D62E21" w:rsidRPr="00813052">
        <w:rPr>
          <w:rFonts w:ascii="Times New Roman" w:hAnsi="Times New Roman" w:cs="Times New Roman"/>
        </w:rPr>
        <w:t>In Keith v. County of Oakland, the sixth court of appeal reversed the court ruling o</w:t>
      </w:r>
      <w:r w:rsidR="00DF5045">
        <w:rPr>
          <w:rFonts w:ascii="Times New Roman" w:hAnsi="Times New Roman" w:cs="Times New Roman"/>
        </w:rPr>
        <w:t xml:space="preserve">f Michigan state district court. It mentioned that </w:t>
      </w:r>
      <w:r w:rsidR="00D62E21" w:rsidRPr="00813052">
        <w:rPr>
          <w:rFonts w:ascii="Times New Roman" w:hAnsi="Times New Roman" w:cs="Times New Roman"/>
        </w:rPr>
        <w:t>the deaf applicant’s rights under the “Americans Disabilities Act (ADA)” have been violated. This violation took place when the county revoked his job offe</w:t>
      </w:r>
      <w:r w:rsidR="00C217C9" w:rsidRPr="00813052">
        <w:rPr>
          <w:rFonts w:ascii="Times New Roman" w:hAnsi="Times New Roman" w:cs="Times New Roman"/>
        </w:rPr>
        <w:t>r of hiring him as a lifeguard.</w:t>
      </w:r>
    </w:p>
    <w:p w14:paraId="65538E3A" w14:textId="77777777" w:rsidR="00EB2FEC" w:rsidRPr="00813052" w:rsidRDefault="0072753E" w:rsidP="00EB2FEC">
      <w:pPr>
        <w:pStyle w:val="Heading1"/>
        <w:rPr>
          <w:rFonts w:ascii="Times New Roman" w:hAnsi="Times New Roman" w:cs="Times New Roman"/>
        </w:rPr>
      </w:pPr>
      <w:r w:rsidRPr="00813052">
        <w:rPr>
          <w:rFonts w:ascii="Times New Roman" w:hAnsi="Times New Roman" w:cs="Times New Roman"/>
        </w:rPr>
        <w:t>Case study review of Judge Griffin’s opinion</w:t>
      </w:r>
    </w:p>
    <w:p w14:paraId="518446E6" w14:textId="092437C3" w:rsidR="00C217C9" w:rsidRPr="00813052" w:rsidRDefault="0072753E" w:rsidP="00852ABD">
      <w:pPr>
        <w:rPr>
          <w:rFonts w:ascii="Times New Roman" w:hAnsi="Times New Roman" w:cs="Times New Roman"/>
        </w:rPr>
      </w:pPr>
      <w:r w:rsidRPr="00813052">
        <w:rPr>
          <w:rFonts w:ascii="Times New Roman" w:hAnsi="Times New Roman" w:cs="Times New Roman"/>
        </w:rPr>
        <w:t>In Keith v. County of Oakland</w:t>
      </w:r>
      <w:r w:rsidR="00DF5045">
        <w:rPr>
          <w:rFonts w:ascii="Times New Roman" w:hAnsi="Times New Roman" w:cs="Times New Roman"/>
        </w:rPr>
        <w:t xml:space="preserve"> case</w:t>
      </w:r>
      <w:r w:rsidRPr="00813052">
        <w:rPr>
          <w:rFonts w:ascii="Times New Roman" w:hAnsi="Times New Roman" w:cs="Times New Roman"/>
        </w:rPr>
        <w:t xml:space="preserve">, the </w:t>
      </w:r>
      <w:r w:rsidR="00DF5045">
        <w:rPr>
          <w:rFonts w:ascii="Times New Roman" w:hAnsi="Times New Roman" w:cs="Times New Roman"/>
        </w:rPr>
        <w:t>c</w:t>
      </w:r>
      <w:r w:rsidR="00610B43" w:rsidRPr="00813052">
        <w:rPr>
          <w:rFonts w:ascii="Times New Roman" w:hAnsi="Times New Roman" w:cs="Times New Roman"/>
        </w:rPr>
        <w:t>ircuit</w:t>
      </w:r>
      <w:r w:rsidRPr="00813052">
        <w:rPr>
          <w:rFonts w:ascii="Times New Roman" w:hAnsi="Times New Roman" w:cs="Times New Roman"/>
        </w:rPr>
        <w:t xml:space="preserve"> Judge Griffin </w:t>
      </w:r>
      <w:r w:rsidR="00DF5045">
        <w:rPr>
          <w:rFonts w:ascii="Times New Roman" w:hAnsi="Times New Roman" w:cs="Times New Roman"/>
        </w:rPr>
        <w:t xml:space="preserve">argued </w:t>
      </w:r>
      <w:r w:rsidRPr="00813052">
        <w:rPr>
          <w:rFonts w:ascii="Times New Roman" w:hAnsi="Times New Roman" w:cs="Times New Roman"/>
        </w:rPr>
        <w:t xml:space="preserve">that the burden of evidence is required to decide if Oakland </w:t>
      </w:r>
      <w:r w:rsidR="00610B43" w:rsidRPr="00813052">
        <w:rPr>
          <w:rFonts w:ascii="Times New Roman" w:hAnsi="Times New Roman" w:cs="Times New Roman"/>
        </w:rPr>
        <w:t>County</w:t>
      </w:r>
      <w:r w:rsidRPr="00813052">
        <w:rPr>
          <w:rFonts w:ascii="Times New Roman" w:hAnsi="Times New Roman" w:cs="Times New Roman"/>
        </w:rPr>
        <w:t xml:space="preserve"> ha</w:t>
      </w:r>
      <w:r w:rsidR="00DF5045">
        <w:rPr>
          <w:rFonts w:ascii="Times New Roman" w:hAnsi="Times New Roman" w:cs="Times New Roman"/>
        </w:rPr>
        <w:t>s</w:t>
      </w:r>
      <w:r w:rsidRPr="00813052">
        <w:rPr>
          <w:rFonts w:ascii="Times New Roman" w:hAnsi="Times New Roman" w:cs="Times New Roman"/>
        </w:rPr>
        <w:t xml:space="preserve"> </w:t>
      </w:r>
      <w:r w:rsidR="00610B43" w:rsidRPr="00813052">
        <w:rPr>
          <w:rFonts w:ascii="Times New Roman" w:hAnsi="Times New Roman" w:cs="Times New Roman"/>
        </w:rPr>
        <w:t>given</w:t>
      </w:r>
      <w:r w:rsidRPr="00813052">
        <w:rPr>
          <w:rFonts w:ascii="Times New Roman" w:hAnsi="Times New Roman" w:cs="Times New Roman"/>
        </w:rPr>
        <w:t xml:space="preserve"> Nicholas Keith the due rights </w:t>
      </w:r>
      <w:r w:rsidR="00DF5045">
        <w:rPr>
          <w:rFonts w:ascii="Times New Roman" w:hAnsi="Times New Roman" w:cs="Times New Roman"/>
        </w:rPr>
        <w:t>or not?</w:t>
      </w:r>
      <w:r w:rsidRPr="00813052">
        <w:rPr>
          <w:rFonts w:ascii="Times New Roman" w:hAnsi="Times New Roman" w:cs="Times New Roman"/>
        </w:rPr>
        <w:t xml:space="preserve"> He remarked that the </w:t>
      </w:r>
      <w:r w:rsidR="00610B43" w:rsidRPr="00813052">
        <w:rPr>
          <w:rFonts w:ascii="Times New Roman" w:hAnsi="Times New Roman" w:cs="Times New Roman"/>
        </w:rPr>
        <w:t>evidence</w:t>
      </w:r>
      <w:r w:rsidRPr="00813052">
        <w:rPr>
          <w:rFonts w:ascii="Times New Roman" w:hAnsi="Times New Roman" w:cs="Times New Roman"/>
        </w:rPr>
        <w:t xml:space="preserve"> </w:t>
      </w:r>
      <w:r w:rsidR="00610B43" w:rsidRPr="00813052">
        <w:rPr>
          <w:rFonts w:ascii="Times New Roman" w:hAnsi="Times New Roman" w:cs="Times New Roman"/>
        </w:rPr>
        <w:t>will</w:t>
      </w:r>
      <w:r w:rsidRPr="00813052">
        <w:rPr>
          <w:rFonts w:ascii="Times New Roman" w:hAnsi="Times New Roman" w:cs="Times New Roman"/>
        </w:rPr>
        <w:t xml:space="preserve"> suggest that </w:t>
      </w:r>
      <w:r w:rsidR="00610B43" w:rsidRPr="00813052">
        <w:rPr>
          <w:rFonts w:ascii="Times New Roman" w:hAnsi="Times New Roman" w:cs="Times New Roman"/>
        </w:rPr>
        <w:t>whether</w:t>
      </w:r>
      <w:r w:rsidRPr="00813052">
        <w:rPr>
          <w:rFonts w:ascii="Times New Roman" w:hAnsi="Times New Roman" w:cs="Times New Roman"/>
        </w:rPr>
        <w:t xml:space="preserve"> Nicholas has been discriminated on the basis of his </w:t>
      </w:r>
      <w:r w:rsidR="00610B43" w:rsidRPr="00813052">
        <w:rPr>
          <w:rFonts w:ascii="Times New Roman" w:hAnsi="Times New Roman" w:cs="Times New Roman"/>
        </w:rPr>
        <w:t>disability</w:t>
      </w:r>
      <w:r w:rsidRPr="00813052">
        <w:rPr>
          <w:rFonts w:ascii="Times New Roman" w:hAnsi="Times New Roman" w:cs="Times New Roman"/>
        </w:rPr>
        <w:t>. He argued that if this disabil</w:t>
      </w:r>
      <w:r w:rsidR="00610B43" w:rsidRPr="00813052">
        <w:rPr>
          <w:rFonts w:ascii="Times New Roman" w:hAnsi="Times New Roman" w:cs="Times New Roman"/>
        </w:rPr>
        <w:t>ity gets prove, it will also be the violation of ADA. Prior to this, the county authorities refused to hire Keith as the lifeguard. The Court, later on, gave the county authorities the summary of judgment so that the can prove that how Keith was differently qualified for the position of Lifeguard in their pool. The Court guided</w:t>
      </w:r>
      <w:r w:rsidR="00852719">
        <w:rPr>
          <w:rFonts w:ascii="Times New Roman" w:hAnsi="Times New Roman" w:cs="Times New Roman"/>
        </w:rPr>
        <w:t>,</w:t>
      </w:r>
      <w:r w:rsidR="00610B43" w:rsidRPr="00813052">
        <w:rPr>
          <w:rFonts w:ascii="Times New Roman" w:hAnsi="Times New Roman" w:cs="Times New Roman"/>
        </w:rPr>
        <w:t xml:space="preserve"> the County authorities to also make </w:t>
      </w:r>
      <w:r w:rsidR="00610B43" w:rsidRPr="00DF5045">
        <w:rPr>
          <w:rFonts w:ascii="Times New Roman" w:hAnsi="Times New Roman" w:cs="Times New Roman"/>
        </w:rPr>
        <w:t xml:space="preserve">this clear that whether Keith was eligible </w:t>
      </w:r>
      <w:r w:rsidR="00DF5045" w:rsidRPr="00DF5045">
        <w:rPr>
          <w:rFonts w:ascii="Times New Roman" w:hAnsi="Times New Roman" w:cs="Times New Roman"/>
        </w:rPr>
        <w:t xml:space="preserve">for </w:t>
      </w:r>
      <w:r w:rsidR="00610B43" w:rsidRPr="00DF5045">
        <w:rPr>
          <w:rFonts w:ascii="Times New Roman" w:hAnsi="Times New Roman" w:cs="Times New Roman"/>
        </w:rPr>
        <w:t>accommodation or not</w:t>
      </w:r>
      <w:r w:rsidR="00DF5045">
        <w:rPr>
          <w:rFonts w:ascii="Times New Roman" w:hAnsi="Times New Roman" w:cs="Times New Roman"/>
          <w:highlight w:val="yellow"/>
        </w:rPr>
        <w:t xml:space="preserve"> </w:t>
      </w:r>
      <w:r w:rsidR="0046293C">
        <w:rPr>
          <w:rFonts w:ascii="Times New Roman" w:hAnsi="Times New Roman" w:cs="Times New Roman"/>
        </w:rPr>
        <w:fldChar w:fldCharType="begin"/>
      </w:r>
      <w:r w:rsidR="0046293C">
        <w:rPr>
          <w:rFonts w:ascii="Times New Roman" w:hAnsi="Times New Roman" w:cs="Times New Roman"/>
        </w:rPr>
        <w:instrText xml:space="preserve"> ADDIN ZOTERO_ITEM CSL_CITATION {"citationID":"ba11GmBC","properties":{"formattedCitation":"(Schaff et al., 2013)","plainCitation":"(Schaff et al., 2013)","noteIndex":0},"citationItems":[{"id":1771,"uris":["http://zotero.org/users/local/s8f0QVnP/items/LDR2X5IH"],"uri":["http://zotero.org/users/local/s8f0QVnP/items/LDR2X5IH"],"itemData":{"id":1771,"type":"article-journal","title":"Addressing the social determinants of health through the Alameda County, California, place matters policy initiative","container-title":"Public Health Reports","page":"48–53","volume":"128","issue":"6_suppl3","source":"Google Scholar","author":[{"family":"Schaff","given":"Katherine"},{"family":"Desautels","given":"Alexandra"},{"family":"Flournoy","given":"Rebecca"},{"family":"Carson","given":"Keith"},{"family":"Drenick","given":"Teresa"},{"family":"Fujii","given":"Darlene"},{"family":"Lee","given":"Anna"},{"family":"Luginbuhl","given":"Jessica"},{"family":"Mena","given":"Mona"},{"family":"Shrago","given":"Amy"}],"issued":{"date-parts":[["2013"]]}}}],"schema":"https://github.com/citation-style-language/schema/raw/master/csl-citation.json"} </w:instrText>
      </w:r>
      <w:r w:rsidR="0046293C">
        <w:rPr>
          <w:rFonts w:ascii="Times New Roman" w:hAnsi="Times New Roman" w:cs="Times New Roman"/>
        </w:rPr>
        <w:fldChar w:fldCharType="separate"/>
      </w:r>
      <w:r w:rsidR="0046293C" w:rsidRPr="0046293C">
        <w:rPr>
          <w:rFonts w:ascii="Times New Roman" w:hAnsi="Times New Roman" w:cs="Times New Roman"/>
        </w:rPr>
        <w:t>(</w:t>
      </w:r>
      <w:proofErr w:type="spellStart"/>
      <w:r w:rsidR="0046293C" w:rsidRPr="0046293C">
        <w:rPr>
          <w:rFonts w:ascii="Times New Roman" w:hAnsi="Times New Roman" w:cs="Times New Roman"/>
        </w:rPr>
        <w:t>Schaff</w:t>
      </w:r>
      <w:proofErr w:type="spellEnd"/>
      <w:r w:rsidR="0046293C" w:rsidRPr="0046293C">
        <w:rPr>
          <w:rFonts w:ascii="Times New Roman" w:hAnsi="Times New Roman" w:cs="Times New Roman"/>
        </w:rPr>
        <w:t xml:space="preserve"> et al., 2013)</w:t>
      </w:r>
      <w:r w:rsidR="0046293C">
        <w:rPr>
          <w:rFonts w:ascii="Times New Roman" w:hAnsi="Times New Roman" w:cs="Times New Roman"/>
        </w:rPr>
        <w:fldChar w:fldCharType="end"/>
      </w:r>
      <w:r w:rsidR="00610B43" w:rsidRPr="00813052">
        <w:rPr>
          <w:rFonts w:ascii="Times New Roman" w:hAnsi="Times New Roman" w:cs="Times New Roman"/>
        </w:rPr>
        <w:t xml:space="preserve">. </w:t>
      </w:r>
    </w:p>
    <w:p w14:paraId="5AA0BABF" w14:textId="77777777" w:rsidR="00EB2FEC" w:rsidRPr="00813052" w:rsidRDefault="0072753E" w:rsidP="00EB2FEC">
      <w:pPr>
        <w:pStyle w:val="Heading1"/>
        <w:jc w:val="left"/>
        <w:rPr>
          <w:rFonts w:ascii="Times New Roman" w:hAnsi="Times New Roman" w:cs="Times New Roman"/>
        </w:rPr>
      </w:pPr>
      <w:r w:rsidRPr="00813052">
        <w:rPr>
          <w:rFonts w:ascii="Times New Roman" w:hAnsi="Times New Roman" w:cs="Times New Roman"/>
        </w:rPr>
        <w:t>What are the legal issues presented in this case? Did the plaintiff establish a valid claim of failure to reasonably accommodate? What did the appeals court decide?</w:t>
      </w:r>
    </w:p>
    <w:p w14:paraId="63291F61" w14:textId="77777777" w:rsidR="00EB2FEC" w:rsidRPr="00813052" w:rsidRDefault="0072753E" w:rsidP="00EB2FEC">
      <w:pPr>
        <w:rPr>
          <w:rFonts w:ascii="Times New Roman" w:hAnsi="Times New Roman" w:cs="Times New Roman"/>
        </w:rPr>
      </w:pPr>
      <w:r w:rsidRPr="00813052">
        <w:rPr>
          <w:rFonts w:ascii="Times New Roman" w:hAnsi="Times New Roman" w:cs="Times New Roman"/>
        </w:rPr>
        <w:t>The following are the legal issues which were presented in this case</w:t>
      </w:r>
    </w:p>
    <w:p w14:paraId="3BA5BEF4" w14:textId="77777777" w:rsidR="006D6194" w:rsidRPr="00813052" w:rsidRDefault="0072753E" w:rsidP="006D6194">
      <w:pPr>
        <w:pStyle w:val="ListParagraph"/>
        <w:numPr>
          <w:ilvl w:val="0"/>
          <w:numId w:val="17"/>
        </w:numPr>
        <w:rPr>
          <w:rFonts w:ascii="Times New Roman" w:hAnsi="Times New Roman" w:cs="Times New Roman"/>
        </w:rPr>
      </w:pPr>
      <w:r w:rsidRPr="00813052">
        <w:rPr>
          <w:rFonts w:ascii="Times New Roman" w:hAnsi="Times New Roman" w:cs="Times New Roman"/>
        </w:rPr>
        <w:t>Keith was not given this position and was discriminated on the basis of disability</w:t>
      </w:r>
    </w:p>
    <w:p w14:paraId="609B7400" w14:textId="77777777" w:rsidR="006D6194" w:rsidRPr="00813052" w:rsidRDefault="0072753E" w:rsidP="006D6194">
      <w:pPr>
        <w:pStyle w:val="ListParagraph"/>
        <w:numPr>
          <w:ilvl w:val="0"/>
          <w:numId w:val="17"/>
        </w:numPr>
        <w:rPr>
          <w:rFonts w:ascii="Times New Roman" w:hAnsi="Times New Roman" w:cs="Times New Roman"/>
        </w:rPr>
      </w:pPr>
      <w:r w:rsidRPr="00813052">
        <w:rPr>
          <w:rFonts w:ascii="Times New Roman" w:hAnsi="Times New Roman" w:cs="Times New Roman"/>
        </w:rPr>
        <w:t xml:space="preserve">It is not clear that the County had made an individual inquiry or not </w:t>
      </w:r>
    </w:p>
    <w:p w14:paraId="46BE0A47" w14:textId="77777777" w:rsidR="00EB2FEC" w:rsidRPr="00813052" w:rsidRDefault="0072753E" w:rsidP="006D6194">
      <w:pPr>
        <w:pStyle w:val="ListParagraph"/>
        <w:numPr>
          <w:ilvl w:val="0"/>
          <w:numId w:val="17"/>
        </w:numPr>
        <w:rPr>
          <w:rFonts w:ascii="Times New Roman" w:hAnsi="Times New Roman" w:cs="Times New Roman"/>
        </w:rPr>
      </w:pPr>
      <w:r w:rsidRPr="00813052">
        <w:rPr>
          <w:rFonts w:ascii="Times New Roman" w:hAnsi="Times New Roman" w:cs="Times New Roman"/>
        </w:rPr>
        <w:t>Whether Keith was eligible for the job if provided with reasonable accommodation</w:t>
      </w:r>
    </w:p>
    <w:p w14:paraId="039D1D50" w14:textId="77777777" w:rsidR="006D6194" w:rsidRPr="00813052" w:rsidRDefault="0072753E" w:rsidP="006D6194">
      <w:pPr>
        <w:pStyle w:val="ListParagraph"/>
        <w:numPr>
          <w:ilvl w:val="0"/>
          <w:numId w:val="17"/>
        </w:numPr>
        <w:rPr>
          <w:rFonts w:ascii="Times New Roman" w:hAnsi="Times New Roman" w:cs="Times New Roman"/>
          <w:bdr w:val="none" w:sz="0" w:space="0" w:color="auto" w:frame="1"/>
          <w:shd w:val="clear" w:color="auto" w:fill="FFFFFF"/>
        </w:rPr>
      </w:pPr>
      <w:r w:rsidRPr="00813052">
        <w:rPr>
          <w:rFonts w:ascii="Times New Roman" w:hAnsi="Times New Roman" w:cs="Times New Roman"/>
        </w:rPr>
        <w:t xml:space="preserve">Whether or not the county engaged in the individual case analysis of Keith. </w:t>
      </w:r>
    </w:p>
    <w:p w14:paraId="3D7A3F88" w14:textId="77777777" w:rsidR="00EB2FEC" w:rsidRPr="00813052" w:rsidRDefault="0072753E" w:rsidP="00BA539B">
      <w:pPr>
        <w:rPr>
          <w:rStyle w:val="t"/>
          <w:rFonts w:ascii="Times New Roman" w:hAnsi="Times New Roman" w:cs="Times New Roman"/>
          <w:bdr w:val="none" w:sz="0" w:space="0" w:color="auto" w:frame="1"/>
          <w:shd w:val="clear" w:color="auto" w:fill="FFFFFF"/>
        </w:rPr>
      </w:pPr>
      <w:r w:rsidRPr="00813052">
        <w:rPr>
          <w:rStyle w:val="t"/>
          <w:rFonts w:ascii="Times New Roman" w:hAnsi="Times New Roman" w:cs="Times New Roman"/>
          <w:bdr w:val="none" w:sz="0" w:space="0" w:color="auto" w:frame="1"/>
          <w:shd w:val="clear" w:color="auto" w:fill="FFFFFF"/>
        </w:rPr>
        <w:lastRenderedPageBreak/>
        <w:t xml:space="preserve">A separate inquiry was, therefore, necessary to be done by the ADA especially in cases involving persons with such disabilities. </w:t>
      </w:r>
      <w:r w:rsidR="00AC022C" w:rsidRPr="00813052">
        <w:rPr>
          <w:rStyle w:val="t"/>
          <w:rFonts w:ascii="Times New Roman" w:hAnsi="Times New Roman" w:cs="Times New Roman"/>
          <w:bdr w:val="none" w:sz="0" w:space="0" w:color="auto" w:frame="1"/>
          <w:shd w:val="clear" w:color="auto" w:fill="FFFFFF"/>
        </w:rPr>
        <w:t>The legal problem with this case was that County failed to provide the accommodation for Keith which was deaf. He was also denied the position both in 2007 and 2008. Keith, therefore, adopted the valid claim that the county has not provided him reasonable accommodation. Since Oakland County knew that the person requires special accommodation without the request of the applicant</w:t>
      </w:r>
      <w:r w:rsidR="000A6C60">
        <w:rPr>
          <w:rStyle w:val="t"/>
          <w:rFonts w:ascii="Times New Roman" w:hAnsi="Times New Roman" w:cs="Times New Roman"/>
          <w:bdr w:val="none" w:sz="0" w:space="0" w:color="auto" w:frame="1"/>
          <w:shd w:val="clear" w:color="auto" w:fill="FFFFFF"/>
        </w:rPr>
        <w:t xml:space="preserve"> </w:t>
      </w:r>
      <w:r w:rsidR="000A6C60">
        <w:rPr>
          <w:rStyle w:val="t"/>
          <w:rFonts w:ascii="Times New Roman" w:hAnsi="Times New Roman" w:cs="Times New Roman"/>
          <w:bdr w:val="none" w:sz="0" w:space="0" w:color="auto" w:frame="1"/>
          <w:shd w:val="clear" w:color="auto" w:fill="FFFFFF"/>
        </w:rPr>
        <w:fldChar w:fldCharType="begin"/>
      </w:r>
      <w:r w:rsidR="000A6C60">
        <w:rPr>
          <w:rStyle w:val="t"/>
          <w:rFonts w:ascii="Times New Roman" w:hAnsi="Times New Roman" w:cs="Times New Roman"/>
          <w:bdr w:val="none" w:sz="0" w:space="0" w:color="auto" w:frame="1"/>
          <w:shd w:val="clear" w:color="auto" w:fill="FFFFFF"/>
        </w:rPr>
        <w:instrText xml:space="preserve"> ADDIN ZOTERO_ITEM CSL_CITATION {"citationID":"KfWSpR4S","properties":{"formattedCitation":"(Walsh, 2015)","plainCitation":"(Walsh, 2015)","noteIndex":0},"citationItems":[{"id":1778,"uris":["http://zotero.org/users/local/s8f0QVnP/items/RCTR62PY"],"uri":["http://zotero.org/users/local/s8f0QVnP/items/RCTR62PY"],"itemData":{"id":1778,"type":"book","title":"Employment law for human resource practice","publisher":"Nelson Education","source":"Google Scholar","author":[{"family":"Walsh","given":"David J."}],"issued":{"date-parts":[["2015"]]}}}],"schema":"https://github.com/citation-style-language/schema/raw/master/csl-citation.json"} </w:instrText>
      </w:r>
      <w:r w:rsidR="000A6C60">
        <w:rPr>
          <w:rStyle w:val="t"/>
          <w:rFonts w:ascii="Times New Roman" w:hAnsi="Times New Roman" w:cs="Times New Roman"/>
          <w:bdr w:val="none" w:sz="0" w:space="0" w:color="auto" w:frame="1"/>
          <w:shd w:val="clear" w:color="auto" w:fill="FFFFFF"/>
        </w:rPr>
        <w:fldChar w:fldCharType="separate"/>
      </w:r>
      <w:r w:rsidR="000A6C60" w:rsidRPr="000A6C60">
        <w:rPr>
          <w:rFonts w:ascii="Times New Roman" w:hAnsi="Times New Roman" w:cs="Times New Roman"/>
        </w:rPr>
        <w:t>(Walsh, 2015)</w:t>
      </w:r>
      <w:r w:rsidR="000A6C60">
        <w:rPr>
          <w:rStyle w:val="t"/>
          <w:rFonts w:ascii="Times New Roman" w:hAnsi="Times New Roman" w:cs="Times New Roman"/>
          <w:bdr w:val="none" w:sz="0" w:space="0" w:color="auto" w:frame="1"/>
          <w:shd w:val="clear" w:color="auto" w:fill="FFFFFF"/>
        </w:rPr>
        <w:fldChar w:fldCharType="end"/>
      </w:r>
      <w:r w:rsidR="00AC022C" w:rsidRPr="00813052">
        <w:rPr>
          <w:rStyle w:val="t"/>
          <w:rFonts w:ascii="Times New Roman" w:hAnsi="Times New Roman" w:cs="Times New Roman"/>
          <w:bdr w:val="none" w:sz="0" w:space="0" w:color="auto" w:frame="1"/>
          <w:shd w:val="clear" w:color="auto" w:fill="FFFFFF"/>
        </w:rPr>
        <w:t>. The court also noticed that Keith also remained to fail in proving that due to his cochlear plant he requires an interpreter during only the classroom instructions, and these will be sufficient accommodations. This led the District Court to make his opinion.</w:t>
      </w:r>
    </w:p>
    <w:p w14:paraId="15E42A76" w14:textId="77777777" w:rsidR="00BE1D8B" w:rsidRPr="00813052" w:rsidRDefault="0072753E" w:rsidP="00BE1D8B">
      <w:pPr>
        <w:pStyle w:val="Heading1"/>
        <w:jc w:val="left"/>
        <w:rPr>
          <w:rFonts w:ascii="Times New Roman" w:hAnsi="Times New Roman" w:cs="Times New Roman"/>
        </w:rPr>
      </w:pPr>
      <w:r w:rsidRPr="00813052">
        <w:rPr>
          <w:rFonts w:ascii="Times New Roman" w:hAnsi="Times New Roman" w:cs="Times New Roman"/>
        </w:rPr>
        <w:t>What accommodations was Keith requesting? Was it reasonable? Support your opinion with an argument based on the course concepts and existing legal evidence or precedents</w:t>
      </w:r>
      <w:r w:rsidR="00CE2CA7" w:rsidRPr="00813052">
        <w:rPr>
          <w:rFonts w:ascii="Times New Roman" w:hAnsi="Times New Roman" w:cs="Times New Roman"/>
        </w:rPr>
        <w:t>.</w:t>
      </w:r>
    </w:p>
    <w:p w14:paraId="6D3DB37A" w14:textId="365B6515" w:rsidR="000F00AA" w:rsidRPr="00813052" w:rsidRDefault="0072753E" w:rsidP="000F00AA">
      <w:pPr>
        <w:rPr>
          <w:rFonts w:ascii="Times New Roman" w:hAnsi="Times New Roman" w:cs="Times New Roman"/>
        </w:rPr>
      </w:pPr>
      <w:r w:rsidRPr="00813052">
        <w:rPr>
          <w:rFonts w:ascii="Times New Roman" w:hAnsi="Times New Roman" w:cs="Times New Roman"/>
        </w:rPr>
        <w:t xml:space="preserve">The accommodations Keith wanted was using a notecard, the permission to use an interpreter/ signer which he wanted to use during the meetings and classrooms. I think that these were some viable demands since he had the ability to detect voices through his cochlear implant. He can also detect the alarm bell, the noise of people calling him, and whistles. </w:t>
      </w:r>
      <w:r w:rsidR="002211FC" w:rsidRPr="00813052">
        <w:rPr>
          <w:rFonts w:ascii="Times New Roman" w:hAnsi="Times New Roman" w:cs="Times New Roman"/>
        </w:rPr>
        <w:t xml:space="preserve">Even though he was not able to speak, therefore he just needed the help of an interpreter. Considering the </w:t>
      </w:r>
      <w:r w:rsidR="00F03CC3" w:rsidRPr="00813052">
        <w:rPr>
          <w:rFonts w:ascii="Times New Roman" w:hAnsi="Times New Roman" w:cs="Times New Roman"/>
        </w:rPr>
        <w:t xml:space="preserve">EEOC (2018) instructions, an employer is </w:t>
      </w:r>
      <w:r w:rsidR="00967800" w:rsidRPr="00813052">
        <w:rPr>
          <w:rFonts w:ascii="Times New Roman" w:hAnsi="Times New Roman" w:cs="Times New Roman"/>
        </w:rPr>
        <w:t>bound</w:t>
      </w:r>
      <w:r w:rsidR="00F03CC3" w:rsidRPr="00813052">
        <w:rPr>
          <w:rFonts w:ascii="Times New Roman" w:hAnsi="Times New Roman" w:cs="Times New Roman"/>
        </w:rPr>
        <w:t xml:space="preserve"> to provide any </w:t>
      </w:r>
      <w:r w:rsidR="00967800" w:rsidRPr="00813052">
        <w:rPr>
          <w:rFonts w:ascii="Times New Roman" w:hAnsi="Times New Roman" w:cs="Times New Roman"/>
        </w:rPr>
        <w:t>such accommodation to an employee with such disabilities. If an employer remains to fail in providing such accommodations, it can result in significant difficulties for the employer</w:t>
      </w:r>
      <w:r w:rsidR="0046293C">
        <w:rPr>
          <w:rFonts w:ascii="Times New Roman" w:hAnsi="Times New Roman" w:cs="Times New Roman"/>
        </w:rPr>
        <w:t xml:space="preserve"> </w:t>
      </w:r>
      <w:r w:rsidR="0046293C">
        <w:rPr>
          <w:rFonts w:ascii="Times New Roman" w:hAnsi="Times New Roman" w:cs="Times New Roman"/>
        </w:rPr>
        <w:fldChar w:fldCharType="begin"/>
      </w:r>
      <w:r w:rsidR="0046293C">
        <w:rPr>
          <w:rFonts w:ascii="Times New Roman" w:hAnsi="Times New Roman" w:cs="Times New Roman"/>
        </w:rPr>
        <w:instrText xml:space="preserve"> ADDIN ZOTERO_ITEM CSL_CITATION {"citationID":"p1CNX4pJ","properties":{"formattedCitation":"(Malos, 2015)","plainCitation":"(Malos, 2015)","noteIndex":0},"citationItems":[{"id":1775,"uris":["http://zotero.org/users/local/s8f0QVnP/items/VITMU27X"],"uri":["http://zotero.org/users/local/s8f0QVnP/items/VITMU27X"],"itemData":{"id":1775,"type":"article-journal","title":"Overt Stereotype Biases and Discrimination in the Workplace: Why Haven’t We Fixed This by Now?","container-title":"Employee Responsibilities and Rights Journal","page":"271–280","volume":"27","issue":"4","source":"Google Scholar","title-short":"Overt Stereotype Biases and Discrimination in the Workplace","author":[{"family":"Malos","given":"Stan"}],"issued":{"date-parts":[["2015"]]}}}],"schema":"https://github.com/citation-style-language/schema/raw/master/csl-citation.json"} </w:instrText>
      </w:r>
      <w:r w:rsidR="0046293C">
        <w:rPr>
          <w:rFonts w:ascii="Times New Roman" w:hAnsi="Times New Roman" w:cs="Times New Roman"/>
        </w:rPr>
        <w:fldChar w:fldCharType="separate"/>
      </w:r>
      <w:r w:rsidR="0046293C" w:rsidRPr="0046293C">
        <w:rPr>
          <w:rFonts w:ascii="Times New Roman" w:hAnsi="Times New Roman" w:cs="Times New Roman"/>
        </w:rPr>
        <w:t>(Malos, 2015)</w:t>
      </w:r>
      <w:r w:rsidR="0046293C">
        <w:rPr>
          <w:rFonts w:ascii="Times New Roman" w:hAnsi="Times New Roman" w:cs="Times New Roman"/>
        </w:rPr>
        <w:fldChar w:fldCharType="end"/>
      </w:r>
      <w:r w:rsidR="00967800" w:rsidRPr="00813052">
        <w:rPr>
          <w:rFonts w:ascii="Times New Roman" w:hAnsi="Times New Roman" w:cs="Times New Roman"/>
        </w:rPr>
        <w:t xml:space="preserve">. </w:t>
      </w:r>
      <w:r w:rsidR="00DF5045">
        <w:rPr>
          <w:rFonts w:ascii="Times New Roman" w:hAnsi="Times New Roman" w:cs="Times New Roman"/>
        </w:rPr>
        <w:t>A</w:t>
      </w:r>
      <w:r w:rsidR="00967800" w:rsidRPr="00813052">
        <w:rPr>
          <w:rFonts w:ascii="Times New Roman" w:hAnsi="Times New Roman" w:cs="Times New Roman"/>
        </w:rPr>
        <w:t xml:space="preserve">ppeal court suggested that since the County has valid concerns about the duties of the employees, therefore, Keith's disability is not alone and is therefore not the right reason to justify non- </w:t>
      </w:r>
      <w:r w:rsidRPr="00813052">
        <w:rPr>
          <w:rFonts w:ascii="Times New Roman" w:hAnsi="Times New Roman" w:cs="Times New Roman"/>
        </w:rPr>
        <w:t>employment.</w:t>
      </w:r>
    </w:p>
    <w:p w14:paraId="731B3B84" w14:textId="77777777" w:rsidR="00CE2CA7" w:rsidRPr="00813052" w:rsidRDefault="0072753E" w:rsidP="000F00AA">
      <w:pPr>
        <w:pStyle w:val="Heading1"/>
        <w:jc w:val="left"/>
        <w:rPr>
          <w:rFonts w:ascii="Times New Roman" w:hAnsi="Times New Roman" w:cs="Times New Roman"/>
        </w:rPr>
      </w:pPr>
      <w:r w:rsidRPr="00813052">
        <w:rPr>
          <w:rFonts w:ascii="Times New Roman" w:hAnsi="Times New Roman" w:cs="Times New Roman"/>
        </w:rPr>
        <w:lastRenderedPageBreak/>
        <w:t>Did the county follow the interactive process required by the Americans with Disabilities Act (ADA)? What did they do well? What could they have done differently?</w:t>
      </w:r>
    </w:p>
    <w:p w14:paraId="76C71BE1" w14:textId="77777777" w:rsidR="0046293C" w:rsidRDefault="0072753E" w:rsidP="000D3B84">
      <w:pPr>
        <w:ind w:firstLine="0"/>
        <w:rPr>
          <w:rFonts w:ascii="Times New Roman" w:hAnsi="Times New Roman" w:cs="Times New Roman"/>
        </w:rPr>
      </w:pPr>
      <w:r w:rsidRPr="00813052">
        <w:rPr>
          <w:rFonts w:ascii="Times New Roman" w:hAnsi="Times New Roman" w:cs="Times New Roman"/>
        </w:rPr>
        <w:tab/>
        <w:t xml:space="preserve">There had been no such proofs that the County followed some interactive processes. </w:t>
      </w:r>
      <w:r>
        <w:rPr>
          <w:rFonts w:ascii="Times New Roman" w:hAnsi="Times New Roman" w:cs="Times New Roman"/>
        </w:rPr>
        <w:t xml:space="preserve">Malos argued </w:t>
      </w:r>
      <w:r w:rsidRPr="00813052">
        <w:rPr>
          <w:rFonts w:ascii="Times New Roman" w:hAnsi="Times New Roman" w:cs="Times New Roman"/>
        </w:rPr>
        <w:t>that ADA wants the employers to take actions, different from stereotype and generalization about disability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{"citationID":"oyknj7i4","properties":{"formattedCitation":"(Malos, 2015)","plainCitation":"(Malos, 2015)","noteIndex":0},"citationItems":[{"id":1775,"uris":["http://zotero.org/users/local/s8f0QVnP/items/VITMU27X"],"uri":["http://zotero.org/users/local/s8f0QVnP/items/VITMU27X"],"itemData":{"id":1775,"type":"article-journal","title":"Overt Stereotype Biases and Discrimination in the Workplace: Why Haven’t We Fixed This by Now?","container-title":"Employee Responsibilities and Rights Journal","page":"271–280","volume":"27","issue":"4","source":"Google Scholar","title-short":"Overt Stereotype Biases and Discrimination in the Workplace","author":[{"family":"Malos","given":"Stan"}],"issued":{"date-parts":[["2015"]]}}}],"schema":"https://github.com/citation-style-language/schema/raw/master/csl-citation.json"} </w:instrText>
      </w:r>
      <w:r>
        <w:rPr>
          <w:rFonts w:ascii="Times New Roman" w:hAnsi="Times New Roman" w:cs="Times New Roman"/>
        </w:rPr>
        <w:fldChar w:fldCharType="separate"/>
      </w:r>
      <w:r w:rsidRPr="0046293C">
        <w:rPr>
          <w:rFonts w:ascii="Times New Roman" w:hAnsi="Times New Roman" w:cs="Times New Roman"/>
        </w:rPr>
        <w:t>(M</w:t>
      </w:r>
      <w:bookmarkStart w:id="0" w:name="_GoBack"/>
      <w:bookmarkEnd w:id="0"/>
      <w:r w:rsidRPr="0046293C">
        <w:rPr>
          <w:rFonts w:ascii="Times New Roman" w:hAnsi="Times New Roman" w:cs="Times New Roman"/>
        </w:rPr>
        <w:t>alos, 2015)</w:t>
      </w:r>
      <w:r>
        <w:rPr>
          <w:rFonts w:ascii="Times New Roman" w:hAnsi="Times New Roman" w:cs="Times New Roman"/>
        </w:rPr>
        <w:fldChar w:fldCharType="end"/>
      </w:r>
      <w:r w:rsidR="00DC1497" w:rsidRPr="00813052">
        <w:rPr>
          <w:rFonts w:ascii="Times New Roman" w:hAnsi="Times New Roman" w:cs="Times New Roman"/>
        </w:rPr>
        <w:t xml:space="preserve">.  In cases pertaining to </w:t>
      </w:r>
      <w:r w:rsidRPr="00813052">
        <w:rPr>
          <w:rFonts w:ascii="Times New Roman" w:hAnsi="Times New Roman" w:cs="Times New Roman"/>
        </w:rPr>
        <w:t xml:space="preserve">specific disability </w:t>
      </w:r>
      <w:r w:rsidR="00DC1497" w:rsidRPr="00813052">
        <w:rPr>
          <w:rFonts w:ascii="Times New Roman" w:hAnsi="Times New Roman" w:cs="Times New Roman"/>
        </w:rPr>
        <w:t xml:space="preserve">and its effect on individual ability to do a certain job, the ADA suggests the follow the most appropriate set of guidance. In the case of Keith, County went much ahead in </w:t>
      </w:r>
      <w:r w:rsidR="00AD45B6" w:rsidRPr="00813052">
        <w:rPr>
          <w:rFonts w:ascii="Times New Roman" w:hAnsi="Times New Roman" w:cs="Times New Roman"/>
        </w:rPr>
        <w:t>providing</w:t>
      </w:r>
      <w:r w:rsidR="00DC1497" w:rsidRPr="00813052">
        <w:rPr>
          <w:rFonts w:ascii="Times New Roman" w:hAnsi="Times New Roman" w:cs="Times New Roman"/>
        </w:rPr>
        <w:t xml:space="preserve"> him every kind of medi</w:t>
      </w:r>
      <w:r w:rsidR="00813052">
        <w:rPr>
          <w:rFonts w:ascii="Times New Roman" w:hAnsi="Times New Roman" w:cs="Times New Roman"/>
        </w:rPr>
        <w:t xml:space="preserve">cal support and more than that. </w:t>
      </w:r>
    </w:p>
    <w:p w14:paraId="4F857A5A" w14:textId="77777777" w:rsidR="0046293C" w:rsidRDefault="0072753E">
      <w:pPr>
        <w:rPr>
          <w:rFonts w:ascii="Times New Roman" w:hAnsi="Times New Roman" w:cs="Times New Roman"/>
        </w:rPr>
      </w:pPr>
      <w:r>
        <w:rPr>
          <w:rFonts w:ascii="Times New Roman" w:hAnsi="Times New Roman" w:cs="Times New Roman"/>
        </w:rPr>
        <w:br w:type="page"/>
      </w:r>
    </w:p>
    <w:p w14:paraId="4EB3B306" w14:textId="77777777" w:rsidR="00BA539B" w:rsidRDefault="0072753E" w:rsidP="0046293C">
      <w:pPr>
        <w:jc w:val="center"/>
        <w:rPr>
          <w:rStyle w:val="t"/>
          <w:rFonts w:ascii="Times New Roman" w:hAnsi="Times New Roman" w:cs="Times New Roman"/>
          <w:bdr w:val="none" w:sz="0" w:space="0" w:color="auto" w:frame="1"/>
          <w:shd w:val="clear" w:color="auto" w:fill="FFFFFF"/>
        </w:rPr>
      </w:pPr>
      <w:r w:rsidRPr="0046293C">
        <w:rPr>
          <w:rStyle w:val="t"/>
          <w:rFonts w:ascii="Times New Roman" w:hAnsi="Times New Roman" w:cs="Times New Roman"/>
          <w:bdr w:val="none" w:sz="0" w:space="0" w:color="auto" w:frame="1"/>
          <w:shd w:val="clear" w:color="auto" w:fill="FFFFFF"/>
        </w:rPr>
        <w:lastRenderedPageBreak/>
        <w:t>Works Cited:</w:t>
      </w:r>
    </w:p>
    <w:p w14:paraId="5EE7CF56" w14:textId="77777777" w:rsidR="000A6C60" w:rsidRPr="000A6C60" w:rsidRDefault="0072753E" w:rsidP="000A6C60">
      <w:pPr>
        <w:pStyle w:val="Bibliography"/>
        <w:rPr>
          <w:rFonts w:ascii="Times New Roman" w:hAnsi="Times New Roman" w:cs="Times New Roman"/>
        </w:rPr>
      </w:pPr>
      <w:r>
        <w:rPr>
          <w:rStyle w:val="t"/>
          <w:rFonts w:ascii="Times New Roman" w:hAnsi="Times New Roman" w:cs="Times New Roman"/>
          <w:bdr w:val="none" w:sz="0" w:space="0" w:color="auto" w:frame="1"/>
          <w:shd w:val="clear" w:color="auto" w:fill="FFFFFF"/>
        </w:rPr>
        <w:fldChar w:fldCharType="begin"/>
      </w:r>
      <w:r>
        <w:rPr>
          <w:rStyle w:val="t"/>
          <w:rFonts w:ascii="Times New Roman" w:hAnsi="Times New Roman" w:cs="Times New Roman"/>
          <w:bdr w:val="none" w:sz="0" w:space="0" w:color="auto" w:frame="1"/>
          <w:shd w:val="clear" w:color="auto" w:fill="FFFFFF"/>
        </w:rPr>
        <w:instrText xml:space="preserve"> ADDIN ZOTERO_BIBL {"uncited":[],"omitted":[],"custom":[]} CSL_BIBLIOGRAPHY </w:instrText>
      </w:r>
      <w:r>
        <w:rPr>
          <w:rStyle w:val="t"/>
          <w:rFonts w:ascii="Times New Roman" w:hAnsi="Times New Roman" w:cs="Times New Roman"/>
          <w:bdr w:val="none" w:sz="0" w:space="0" w:color="auto" w:frame="1"/>
          <w:shd w:val="clear" w:color="auto" w:fill="FFFFFF"/>
        </w:rPr>
        <w:fldChar w:fldCharType="separate"/>
      </w:r>
      <w:r w:rsidRPr="000A6C60">
        <w:rPr>
          <w:rFonts w:ascii="Times New Roman" w:hAnsi="Times New Roman" w:cs="Times New Roman"/>
        </w:rPr>
        <w:t xml:space="preserve">Malos, S. (2015). Overt Stereotype Biases and Discrimination in the Workplace: Why Haven’t We Fixed This by Now? </w:t>
      </w:r>
      <w:r w:rsidRPr="000A6C60">
        <w:rPr>
          <w:rFonts w:ascii="Times New Roman" w:hAnsi="Times New Roman" w:cs="Times New Roman"/>
          <w:i/>
          <w:iCs/>
        </w:rPr>
        <w:t>Employee Responsibilities and Rights Journal</w:t>
      </w:r>
      <w:r w:rsidRPr="000A6C60">
        <w:rPr>
          <w:rFonts w:ascii="Times New Roman" w:hAnsi="Times New Roman" w:cs="Times New Roman"/>
        </w:rPr>
        <w:t xml:space="preserve">, </w:t>
      </w:r>
      <w:r w:rsidRPr="000A6C60">
        <w:rPr>
          <w:rFonts w:ascii="Times New Roman" w:hAnsi="Times New Roman" w:cs="Times New Roman"/>
          <w:i/>
          <w:iCs/>
        </w:rPr>
        <w:t>27</w:t>
      </w:r>
      <w:r w:rsidRPr="000A6C60">
        <w:rPr>
          <w:rFonts w:ascii="Times New Roman" w:hAnsi="Times New Roman" w:cs="Times New Roman"/>
        </w:rPr>
        <w:t>(4), 271–280.</w:t>
      </w:r>
    </w:p>
    <w:p w14:paraId="7E09EE21" w14:textId="77777777" w:rsidR="000A6C60" w:rsidRPr="000A6C60" w:rsidRDefault="0072753E" w:rsidP="000A6C60">
      <w:pPr>
        <w:pStyle w:val="Bibliography"/>
        <w:rPr>
          <w:rFonts w:ascii="Times New Roman" w:hAnsi="Times New Roman" w:cs="Times New Roman"/>
        </w:rPr>
      </w:pPr>
      <w:r w:rsidRPr="000A6C60">
        <w:rPr>
          <w:rFonts w:ascii="Times New Roman" w:hAnsi="Times New Roman" w:cs="Times New Roman"/>
        </w:rPr>
        <w:t xml:space="preserve">Schaff, K., Desautels, A., Flournoy, R., Carson, K., Drenick, T., Fujii, D., … Shrago, A. (2013). Addressing the social determinants of health through the Alameda County, California, place matters policy initiative. </w:t>
      </w:r>
      <w:r w:rsidRPr="000A6C60">
        <w:rPr>
          <w:rFonts w:ascii="Times New Roman" w:hAnsi="Times New Roman" w:cs="Times New Roman"/>
          <w:i/>
          <w:iCs/>
        </w:rPr>
        <w:t>Public Health Reports</w:t>
      </w:r>
      <w:r w:rsidRPr="000A6C60">
        <w:rPr>
          <w:rFonts w:ascii="Times New Roman" w:hAnsi="Times New Roman" w:cs="Times New Roman"/>
        </w:rPr>
        <w:t xml:space="preserve">, </w:t>
      </w:r>
      <w:r w:rsidRPr="000A6C60">
        <w:rPr>
          <w:rFonts w:ascii="Times New Roman" w:hAnsi="Times New Roman" w:cs="Times New Roman"/>
          <w:i/>
          <w:iCs/>
        </w:rPr>
        <w:t>128</w:t>
      </w:r>
      <w:r w:rsidRPr="000A6C60">
        <w:rPr>
          <w:rFonts w:ascii="Times New Roman" w:hAnsi="Times New Roman" w:cs="Times New Roman"/>
        </w:rPr>
        <w:t>(6_suppl3), 48–53.</w:t>
      </w:r>
    </w:p>
    <w:p w14:paraId="5E016AA9" w14:textId="77777777" w:rsidR="000A6C60" w:rsidRPr="000A6C60" w:rsidRDefault="0072753E" w:rsidP="000A6C60">
      <w:pPr>
        <w:pStyle w:val="Bibliography"/>
        <w:rPr>
          <w:rFonts w:ascii="Times New Roman" w:hAnsi="Times New Roman" w:cs="Times New Roman"/>
        </w:rPr>
      </w:pPr>
      <w:r w:rsidRPr="000A6C60">
        <w:rPr>
          <w:rFonts w:ascii="Times New Roman" w:hAnsi="Times New Roman" w:cs="Times New Roman"/>
        </w:rPr>
        <w:t xml:space="preserve">Walsh, D. J. (2015). </w:t>
      </w:r>
      <w:r w:rsidRPr="000A6C60">
        <w:rPr>
          <w:rFonts w:ascii="Times New Roman" w:hAnsi="Times New Roman" w:cs="Times New Roman"/>
          <w:i/>
          <w:iCs/>
        </w:rPr>
        <w:t>Employment law for human resource practice</w:t>
      </w:r>
      <w:r w:rsidRPr="000A6C60">
        <w:rPr>
          <w:rFonts w:ascii="Times New Roman" w:hAnsi="Times New Roman" w:cs="Times New Roman"/>
        </w:rPr>
        <w:t>. Nelson Education.</w:t>
      </w:r>
    </w:p>
    <w:p w14:paraId="7765CD34" w14:textId="77777777" w:rsidR="0046293C" w:rsidRPr="0046293C" w:rsidRDefault="0072753E" w:rsidP="0046293C">
      <w:pPr>
        <w:rPr>
          <w:rStyle w:val="t"/>
          <w:rFonts w:ascii="Times New Roman" w:hAnsi="Times New Roman" w:cs="Times New Roman"/>
          <w:bdr w:val="none" w:sz="0" w:space="0" w:color="auto" w:frame="1"/>
          <w:shd w:val="clear" w:color="auto" w:fill="FFFFFF"/>
        </w:rPr>
      </w:pPr>
      <w:r>
        <w:rPr>
          <w:rStyle w:val="t"/>
          <w:rFonts w:ascii="Times New Roman" w:hAnsi="Times New Roman" w:cs="Times New Roman"/>
          <w:bdr w:val="none" w:sz="0" w:space="0" w:color="auto" w:frame="1"/>
          <w:shd w:val="clear" w:color="auto" w:fill="FFFFFF"/>
        </w:rPr>
        <w:fldChar w:fldCharType="end"/>
      </w:r>
    </w:p>
    <w:p w14:paraId="177E2EBE" w14:textId="77777777" w:rsidR="00BA539B" w:rsidRDefault="00BA539B" w:rsidP="00852ABD">
      <w:pPr>
        <w:rPr>
          <w:rStyle w:val="t"/>
          <w:rFonts w:ascii="LiberationSerif_q_2" w:hAnsi="LiberationSerif_q_2" w:hint="eastAsia"/>
          <w:color w:val="FF0000"/>
          <w:bdr w:val="none" w:sz="0" w:space="0" w:color="auto" w:frame="1"/>
          <w:shd w:val="clear" w:color="auto" w:fill="FFFFFF"/>
        </w:rPr>
      </w:pPr>
    </w:p>
    <w:sectPr w:rsidR="00BA539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3E25D" w16cid:durableId="20E5025C"/>
  <w16cid:commentId w16cid:paraId="4593A386" w16cid:durableId="20E502AD"/>
  <w16cid:commentId w16cid:paraId="4A1D7E35" w16cid:durableId="20E50331"/>
  <w16cid:commentId w16cid:paraId="5072B414" w16cid:durableId="20E50388"/>
  <w16cid:commentId w16cid:paraId="4535B1E0" w16cid:durableId="20E504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AC76F" w14:textId="77777777" w:rsidR="00FC7B76" w:rsidRDefault="00FC7B76">
      <w:pPr>
        <w:spacing w:line="240" w:lineRule="auto"/>
      </w:pPr>
      <w:r>
        <w:separator/>
      </w:r>
    </w:p>
  </w:endnote>
  <w:endnote w:type="continuationSeparator" w:id="0">
    <w:p w14:paraId="25FA0CF6" w14:textId="77777777" w:rsidR="00FC7B76" w:rsidRDefault="00FC7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iberationSerif_q_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6DA76" w14:textId="77777777" w:rsidR="00FC7B76" w:rsidRDefault="00FC7B76">
      <w:pPr>
        <w:spacing w:line="240" w:lineRule="auto"/>
      </w:pPr>
      <w:r>
        <w:separator/>
      </w:r>
    </w:p>
  </w:footnote>
  <w:footnote w:type="continuationSeparator" w:id="0">
    <w:p w14:paraId="2DAF2D54" w14:textId="77777777" w:rsidR="00FC7B76" w:rsidRDefault="00FC7B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42C8" w14:textId="77777777" w:rsidR="00E81978" w:rsidRDefault="0072753E">
    <w:pPr>
      <w:pStyle w:val="Header"/>
    </w:pPr>
    <w:r>
      <w:rPr>
        <w:rStyle w:val="Strong"/>
      </w:rPr>
      <w:t>HRM</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F5045">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4CD4" w14:textId="77777777" w:rsidR="00E81978" w:rsidRDefault="0072753E">
    <w:pPr>
      <w:pStyle w:val="Header"/>
      <w:rPr>
        <w:rStyle w:val="Strong"/>
      </w:rPr>
    </w:pPr>
    <w:r>
      <w:t>HRM</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F5045" w:rsidRPr="00DF504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1FC1568"/>
    <w:multiLevelType w:val="hybridMultilevel"/>
    <w:tmpl w:val="C43CD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25C6F"/>
    <w:multiLevelType w:val="hybridMultilevel"/>
    <w:tmpl w:val="C43CD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17CC6"/>
    <w:multiLevelType w:val="hybridMultilevel"/>
    <w:tmpl w:val="23D4C946"/>
    <w:lvl w:ilvl="0" w:tplc="70AE2646">
      <w:start w:val="1"/>
      <w:numFmt w:val="bullet"/>
      <w:lvlText w:val=""/>
      <w:lvlJc w:val="left"/>
      <w:pPr>
        <w:ind w:left="720" w:hanging="360"/>
      </w:pPr>
      <w:rPr>
        <w:rFonts w:ascii="Symbol" w:hAnsi="Symbol" w:hint="default"/>
      </w:rPr>
    </w:lvl>
    <w:lvl w:ilvl="1" w:tplc="D034F01C" w:tentative="1">
      <w:start w:val="1"/>
      <w:numFmt w:val="bullet"/>
      <w:lvlText w:val="o"/>
      <w:lvlJc w:val="left"/>
      <w:pPr>
        <w:ind w:left="1440" w:hanging="360"/>
      </w:pPr>
      <w:rPr>
        <w:rFonts w:ascii="Courier New" w:hAnsi="Courier New" w:cs="Courier New" w:hint="default"/>
      </w:rPr>
    </w:lvl>
    <w:lvl w:ilvl="2" w:tplc="244CE4F0" w:tentative="1">
      <w:start w:val="1"/>
      <w:numFmt w:val="bullet"/>
      <w:lvlText w:val=""/>
      <w:lvlJc w:val="left"/>
      <w:pPr>
        <w:ind w:left="2160" w:hanging="360"/>
      </w:pPr>
      <w:rPr>
        <w:rFonts w:ascii="Wingdings" w:hAnsi="Wingdings" w:hint="default"/>
      </w:rPr>
    </w:lvl>
    <w:lvl w:ilvl="3" w:tplc="5FC2EC50" w:tentative="1">
      <w:start w:val="1"/>
      <w:numFmt w:val="bullet"/>
      <w:lvlText w:val=""/>
      <w:lvlJc w:val="left"/>
      <w:pPr>
        <w:ind w:left="2880" w:hanging="360"/>
      </w:pPr>
      <w:rPr>
        <w:rFonts w:ascii="Symbol" w:hAnsi="Symbol" w:hint="default"/>
      </w:rPr>
    </w:lvl>
    <w:lvl w:ilvl="4" w:tplc="76B0CBC8" w:tentative="1">
      <w:start w:val="1"/>
      <w:numFmt w:val="bullet"/>
      <w:lvlText w:val="o"/>
      <w:lvlJc w:val="left"/>
      <w:pPr>
        <w:ind w:left="3600" w:hanging="360"/>
      </w:pPr>
      <w:rPr>
        <w:rFonts w:ascii="Courier New" w:hAnsi="Courier New" w:cs="Courier New" w:hint="default"/>
      </w:rPr>
    </w:lvl>
    <w:lvl w:ilvl="5" w:tplc="34A27CF4" w:tentative="1">
      <w:start w:val="1"/>
      <w:numFmt w:val="bullet"/>
      <w:lvlText w:val=""/>
      <w:lvlJc w:val="left"/>
      <w:pPr>
        <w:ind w:left="4320" w:hanging="360"/>
      </w:pPr>
      <w:rPr>
        <w:rFonts w:ascii="Wingdings" w:hAnsi="Wingdings" w:hint="default"/>
      </w:rPr>
    </w:lvl>
    <w:lvl w:ilvl="6" w:tplc="3C7CE526" w:tentative="1">
      <w:start w:val="1"/>
      <w:numFmt w:val="bullet"/>
      <w:lvlText w:val=""/>
      <w:lvlJc w:val="left"/>
      <w:pPr>
        <w:ind w:left="5040" w:hanging="360"/>
      </w:pPr>
      <w:rPr>
        <w:rFonts w:ascii="Symbol" w:hAnsi="Symbol" w:hint="default"/>
      </w:rPr>
    </w:lvl>
    <w:lvl w:ilvl="7" w:tplc="A9A009D6" w:tentative="1">
      <w:start w:val="1"/>
      <w:numFmt w:val="bullet"/>
      <w:lvlText w:val="o"/>
      <w:lvlJc w:val="left"/>
      <w:pPr>
        <w:ind w:left="5760" w:hanging="360"/>
      </w:pPr>
      <w:rPr>
        <w:rFonts w:ascii="Courier New" w:hAnsi="Courier New" w:cs="Courier New" w:hint="default"/>
      </w:rPr>
    </w:lvl>
    <w:lvl w:ilvl="8" w:tplc="C886446C" w:tentative="1">
      <w:start w:val="1"/>
      <w:numFmt w:val="bullet"/>
      <w:lvlText w:val=""/>
      <w:lvlJc w:val="left"/>
      <w:pPr>
        <w:ind w:left="6480" w:hanging="360"/>
      </w:pPr>
      <w:rPr>
        <w:rFonts w:ascii="Wingdings" w:hAnsi="Wingdings" w:hint="default"/>
      </w:r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EE15218"/>
    <w:multiLevelType w:val="hybridMultilevel"/>
    <w:tmpl w:val="442E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2092F6E"/>
    <w:multiLevelType w:val="hybridMultilevel"/>
    <w:tmpl w:val="81BEC958"/>
    <w:lvl w:ilvl="0" w:tplc="8820A4E4">
      <w:start w:val="1"/>
      <w:numFmt w:val="lowerLetter"/>
      <w:lvlText w:val="%1)"/>
      <w:lvlJc w:val="left"/>
      <w:pPr>
        <w:ind w:left="1440" w:hanging="360"/>
      </w:pPr>
    </w:lvl>
    <w:lvl w:ilvl="1" w:tplc="67E8B6FE" w:tentative="1">
      <w:start w:val="1"/>
      <w:numFmt w:val="lowerLetter"/>
      <w:lvlText w:val="%2."/>
      <w:lvlJc w:val="left"/>
      <w:pPr>
        <w:ind w:left="2160" w:hanging="360"/>
      </w:pPr>
    </w:lvl>
    <w:lvl w:ilvl="2" w:tplc="ABA2E9A4" w:tentative="1">
      <w:start w:val="1"/>
      <w:numFmt w:val="lowerRoman"/>
      <w:lvlText w:val="%3."/>
      <w:lvlJc w:val="right"/>
      <w:pPr>
        <w:ind w:left="2880" w:hanging="180"/>
      </w:pPr>
    </w:lvl>
    <w:lvl w:ilvl="3" w:tplc="DCE84CDC" w:tentative="1">
      <w:start w:val="1"/>
      <w:numFmt w:val="decimal"/>
      <w:lvlText w:val="%4."/>
      <w:lvlJc w:val="left"/>
      <w:pPr>
        <w:ind w:left="3600" w:hanging="360"/>
      </w:pPr>
    </w:lvl>
    <w:lvl w:ilvl="4" w:tplc="E60A984C" w:tentative="1">
      <w:start w:val="1"/>
      <w:numFmt w:val="lowerLetter"/>
      <w:lvlText w:val="%5."/>
      <w:lvlJc w:val="left"/>
      <w:pPr>
        <w:ind w:left="4320" w:hanging="360"/>
      </w:pPr>
    </w:lvl>
    <w:lvl w:ilvl="5" w:tplc="0E6C8AA2" w:tentative="1">
      <w:start w:val="1"/>
      <w:numFmt w:val="lowerRoman"/>
      <w:lvlText w:val="%6."/>
      <w:lvlJc w:val="right"/>
      <w:pPr>
        <w:ind w:left="5040" w:hanging="180"/>
      </w:pPr>
    </w:lvl>
    <w:lvl w:ilvl="6" w:tplc="C9D6D4F4" w:tentative="1">
      <w:start w:val="1"/>
      <w:numFmt w:val="decimal"/>
      <w:lvlText w:val="%7."/>
      <w:lvlJc w:val="left"/>
      <w:pPr>
        <w:ind w:left="5760" w:hanging="360"/>
      </w:pPr>
    </w:lvl>
    <w:lvl w:ilvl="7" w:tplc="2F727FA8" w:tentative="1">
      <w:start w:val="1"/>
      <w:numFmt w:val="lowerLetter"/>
      <w:lvlText w:val="%8."/>
      <w:lvlJc w:val="left"/>
      <w:pPr>
        <w:ind w:left="6480" w:hanging="360"/>
      </w:pPr>
    </w:lvl>
    <w:lvl w:ilvl="8" w:tplc="E8E8CFD2" w:tentative="1">
      <w:start w:val="1"/>
      <w:numFmt w:val="lowerRoman"/>
      <w:lvlText w:val="%9."/>
      <w:lvlJc w:val="right"/>
      <w:pPr>
        <w:ind w:left="7200" w:hanging="180"/>
      </w:pPr>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5"/>
  </w:num>
  <w:num w:numId="14">
    <w:abstractNumId w:val="13"/>
  </w:num>
  <w:num w:numId="15">
    <w:abstractNumId w:val="17"/>
  </w:num>
  <w:num w:numId="16">
    <w:abstractNumId w:val="12"/>
  </w:num>
  <w:num w:numId="17">
    <w:abstractNumId w:val="16"/>
  </w:num>
  <w:num w:numId="18">
    <w:abstractNumId w:val="14"/>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A40AE"/>
    <w:rsid w:val="000A6C60"/>
    <w:rsid w:val="000C1F77"/>
    <w:rsid w:val="000D1FD0"/>
    <w:rsid w:val="000D3B84"/>
    <w:rsid w:val="000D3F41"/>
    <w:rsid w:val="000F00AA"/>
    <w:rsid w:val="001043B6"/>
    <w:rsid w:val="00120D8C"/>
    <w:rsid w:val="00156E81"/>
    <w:rsid w:val="001D3AEE"/>
    <w:rsid w:val="001E76CB"/>
    <w:rsid w:val="002211FC"/>
    <w:rsid w:val="00235295"/>
    <w:rsid w:val="002513E9"/>
    <w:rsid w:val="00296FED"/>
    <w:rsid w:val="00355DCA"/>
    <w:rsid w:val="00386E26"/>
    <w:rsid w:val="003D66CB"/>
    <w:rsid w:val="003F5409"/>
    <w:rsid w:val="00445E12"/>
    <w:rsid w:val="004578B7"/>
    <w:rsid w:val="0046293C"/>
    <w:rsid w:val="004724D7"/>
    <w:rsid w:val="00492655"/>
    <w:rsid w:val="0054276E"/>
    <w:rsid w:val="00551A02"/>
    <w:rsid w:val="005534FA"/>
    <w:rsid w:val="005A6EFA"/>
    <w:rsid w:val="005B3A43"/>
    <w:rsid w:val="005C39B5"/>
    <w:rsid w:val="005D3A03"/>
    <w:rsid w:val="005E6AF9"/>
    <w:rsid w:val="005F6BDF"/>
    <w:rsid w:val="00610B43"/>
    <w:rsid w:val="00623034"/>
    <w:rsid w:val="006D33BA"/>
    <w:rsid w:val="006D6194"/>
    <w:rsid w:val="006E33E5"/>
    <w:rsid w:val="0072753E"/>
    <w:rsid w:val="0078396B"/>
    <w:rsid w:val="00797F6D"/>
    <w:rsid w:val="008002C0"/>
    <w:rsid w:val="00813052"/>
    <w:rsid w:val="00852719"/>
    <w:rsid w:val="00852ABD"/>
    <w:rsid w:val="008B0E56"/>
    <w:rsid w:val="008C5323"/>
    <w:rsid w:val="008D477A"/>
    <w:rsid w:val="008D5F9A"/>
    <w:rsid w:val="008E3AC1"/>
    <w:rsid w:val="00967800"/>
    <w:rsid w:val="009A6A3B"/>
    <w:rsid w:val="00A27DA8"/>
    <w:rsid w:val="00AC022C"/>
    <w:rsid w:val="00AD45B6"/>
    <w:rsid w:val="00B4615C"/>
    <w:rsid w:val="00B566CC"/>
    <w:rsid w:val="00B823AA"/>
    <w:rsid w:val="00BA45DB"/>
    <w:rsid w:val="00BA539B"/>
    <w:rsid w:val="00BE1D8B"/>
    <w:rsid w:val="00BF4184"/>
    <w:rsid w:val="00C0601E"/>
    <w:rsid w:val="00C217C9"/>
    <w:rsid w:val="00C31D30"/>
    <w:rsid w:val="00C370BD"/>
    <w:rsid w:val="00C97C01"/>
    <w:rsid w:val="00CD6E39"/>
    <w:rsid w:val="00CE2CA7"/>
    <w:rsid w:val="00CF6E91"/>
    <w:rsid w:val="00D151D3"/>
    <w:rsid w:val="00D30337"/>
    <w:rsid w:val="00D343E0"/>
    <w:rsid w:val="00D62E21"/>
    <w:rsid w:val="00D75ACE"/>
    <w:rsid w:val="00D85B68"/>
    <w:rsid w:val="00DC1497"/>
    <w:rsid w:val="00DF5045"/>
    <w:rsid w:val="00E6004D"/>
    <w:rsid w:val="00E81978"/>
    <w:rsid w:val="00E93155"/>
    <w:rsid w:val="00E96000"/>
    <w:rsid w:val="00E979DD"/>
    <w:rsid w:val="00EB2FEC"/>
    <w:rsid w:val="00EC2620"/>
    <w:rsid w:val="00EE5314"/>
    <w:rsid w:val="00F03CC3"/>
    <w:rsid w:val="00F379B7"/>
    <w:rsid w:val="00F525FA"/>
    <w:rsid w:val="00F80E5C"/>
    <w:rsid w:val="00F82768"/>
    <w:rsid w:val="00FC553F"/>
    <w:rsid w:val="00FC7B7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05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D62E21"/>
    <w:rPr>
      <w:color w:val="0000FF"/>
      <w:u w:val="single"/>
    </w:rPr>
  </w:style>
  <w:style w:type="character" w:customStyle="1" w:styleId="t">
    <w:name w:val="t"/>
    <w:basedOn w:val="DefaultParagraphFont"/>
    <w:rsid w:val="00D62E21"/>
  </w:style>
  <w:style w:type="paragraph" w:customStyle="1" w:styleId="Default">
    <w:name w:val="Default"/>
    <w:rsid w:val="00852719"/>
    <w:pPr>
      <w:autoSpaceDE w:val="0"/>
      <w:autoSpaceDN w:val="0"/>
      <w:adjustRightInd w:val="0"/>
      <w:spacing w:line="240" w:lineRule="auto"/>
      <w:ind w:firstLine="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2019-07-26T11:48:00Z</dcterms:created>
  <dcterms:modified xsi:type="dcterms:W3CDTF">2019-07-26T11:58:00Z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id="e9zWSC4O"/&gt;&lt;style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