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77777777" w:rsidR="001835B9" w:rsidRDefault="005A1906">
      <w:pPr>
        <w:pStyle w:val="NoSpacing"/>
      </w:pPr>
      <w:r w:rsidRPr="001835B9">
        <w:t xml:space="preserve">Gabriel </w:t>
      </w:r>
      <w:proofErr w:type="spellStart"/>
      <w:r w:rsidRPr="001835B9">
        <w:t>Liuzzi</w:t>
      </w:r>
      <w:proofErr w:type="spellEnd"/>
    </w:p>
    <w:p w14:paraId="30E8F2B0" w14:textId="77777777" w:rsidR="00E614DD" w:rsidRDefault="004A615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5A1906">
      <w:pPr>
        <w:pStyle w:val="NoSpacing"/>
      </w:pPr>
      <w:r w:rsidRPr="001835B9">
        <w:t>Art 101</w:t>
      </w:r>
    </w:p>
    <w:p w14:paraId="38CCADD9" w14:textId="77777777" w:rsidR="00E614DD" w:rsidRDefault="005A1906">
      <w:pPr>
        <w:pStyle w:val="NoSpacing"/>
      </w:pPr>
      <w:r>
        <w:t>19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2018</w:t>
      </w:r>
    </w:p>
    <w:p w14:paraId="1F362B16" w14:textId="041CAE4C" w:rsidR="001835B9" w:rsidRDefault="005A1906" w:rsidP="001835B9">
      <w:pPr>
        <w:pStyle w:val="Title"/>
      </w:pPr>
      <w:r>
        <w:t xml:space="preserve"> </w:t>
      </w:r>
      <w:r w:rsidR="006D254A">
        <w:t>Genetic engineering example</w:t>
      </w:r>
    </w:p>
    <w:p w14:paraId="3922EF38" w14:textId="114DD9B2" w:rsidR="006D254A" w:rsidRDefault="005A1906" w:rsidP="006D254A">
      <w:pPr>
        <w:rPr>
          <w:rFonts w:ascii="Times New Roman" w:hAnsi="Times New Roman" w:cs="Times New Roman"/>
        </w:rPr>
      </w:pPr>
      <w:r w:rsidRPr="001E68BE">
        <w:t xml:space="preserve"> </w:t>
      </w:r>
      <w:r w:rsidRPr="00D053D7">
        <w:rPr>
          <w:rFonts w:ascii="Times New Roman" w:hAnsi="Times New Roman" w:cs="Times New Roman"/>
        </w:rPr>
        <w:t xml:space="preserve">The early phases of genetic engineering are commonly started at the end of the nineteenth century. </w:t>
      </w:r>
      <w:r w:rsidR="001A3655">
        <w:rPr>
          <w:rFonts w:ascii="Times New Roman" w:hAnsi="Times New Roman" w:cs="Times New Roman"/>
        </w:rPr>
        <w:t>The field of genetic engineering developed with the production of patents. For this purpose experiments were performed to produce better quality agricultural products</w:t>
      </w:r>
      <w:r w:rsidR="002441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{"citationID":"a2f61ptq29e","properties":{"formattedCitation":"(Daniell, Kumar, &amp; Dufourmantel, 2005)","plainCitation":"(Daniell, Kumar, &amp; Dufourmantel, 2005)"},"citationItems":[{"id":92,"uris":["http://zotero.org/users/local/ONknjWue/items/PL429RGK"],"uri":["http://zotero.org/users/local/ONknjWue/items/PL429RGK"],"itemData":{"id":92,"type":"article-journal","title":"Breakthrough in chloroplast genetic engineering of agronomically important crops","container-title":"Trends in biotechnology","page":"238-245","volume":"23","issue":"5","author":[{"family":"Daniell","given":"Henry"},{"family":"Kumar","given":"Shashi"},{"family":"Dufourmantel","given":"Nathalie"}],"issued":{"date-parts":[["2005"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 w:rsidRPr="006D254A">
        <w:rPr>
          <w:rFonts w:ascii="Times New Roman" w:hAnsi="Times New Roman" w:cs="Times New Roman"/>
        </w:rPr>
        <w:t>(Daniell, Kumar, &amp; Dufourmantel, 2005)</w:t>
      </w:r>
      <w:r>
        <w:rPr>
          <w:rFonts w:ascii="Times New Roman" w:hAnsi="Times New Roman" w:cs="Times New Roman"/>
        </w:rPr>
        <w:fldChar w:fldCharType="end"/>
      </w:r>
      <w:r w:rsidRPr="00D053D7">
        <w:rPr>
          <w:rFonts w:ascii="Times New Roman" w:hAnsi="Times New Roman" w:cs="Times New Roman"/>
        </w:rPr>
        <w:t xml:space="preserve">. Specifically, the development of hydrogenation of vegetable oils bestowed the extensive consumption of soybean oil. </w:t>
      </w:r>
    </w:p>
    <w:p w14:paraId="179647CC" w14:textId="4A9B2CBA" w:rsidR="006D254A" w:rsidRPr="006D254A" w:rsidRDefault="005A1906" w:rsidP="006D254A">
      <w:r w:rsidRPr="006D254A">
        <w:t>The genetic engineering processes have tremendously changed the trends in the agricultural industry. The mass media keeps informing us with shocking news articles about genetically improved food</w:t>
      </w:r>
      <w:r w:rsidR="001A3655">
        <w:t>s and seeds. Production of purple tomatoes and c</w:t>
      </w:r>
      <w:r w:rsidRPr="006D254A">
        <w:t xml:space="preserve">arrots that </w:t>
      </w:r>
      <w:r w:rsidR="001A3655">
        <w:t>help in the prevention of</w:t>
      </w:r>
      <w:r w:rsidRPr="006D254A">
        <w:t xml:space="preserve"> osteoporos</w:t>
      </w:r>
      <w:r w:rsidR="001A3655">
        <w:t>is has modernized the agricultural field. T</w:t>
      </w:r>
      <w:r>
        <w:t>he s</w:t>
      </w:r>
      <w:r w:rsidRPr="006D254A">
        <w:t>tudies and researches performed in 2008 have shown that scientists have produced such carrots and the tests were performed on mice and volunteers. The results showed that humans absorbed 42% more supplementary calcium from the produced carro</w:t>
      </w:r>
      <w:r w:rsidR="001A3655">
        <w:t xml:space="preserve">ts than from the normal ones. The purpose of the research was to reduce </w:t>
      </w:r>
      <w:r w:rsidRPr="006D254A">
        <w:t xml:space="preserve">osteoporosis-related problems in patients. Generally, the gene encodes a kind of tag that conveys </w:t>
      </w:r>
      <w:r>
        <w:t xml:space="preserve">a message to </w:t>
      </w:r>
      <w:r w:rsidRPr="006D254A">
        <w:t xml:space="preserve">the protein where it ought </w:t>
      </w:r>
      <w:r>
        <w:t>to go</w:t>
      </w:r>
      <w:r w:rsidRPr="006D254A">
        <w:t>. Eliminating the tag let</w:t>
      </w:r>
      <w:r w:rsidR="00617134">
        <w:t xml:space="preserve"> </w:t>
      </w:r>
      <w:r w:rsidRPr="006D254A">
        <w:t xml:space="preserve">the carrier store in </w:t>
      </w:r>
      <w:r>
        <w:t>the cells of the edible part of the plant. This results</w:t>
      </w:r>
      <w:r w:rsidRPr="006D254A">
        <w:t xml:space="preserve"> in greater</w:t>
      </w:r>
      <w:r>
        <w:t xml:space="preserve"> calcium amounts in the cells</w:t>
      </w:r>
      <w:r w:rsidR="002441FE">
        <w:t xml:space="preserve"> </w:t>
      </w:r>
      <w:r w:rsidR="002441FE">
        <w:fldChar w:fldCharType="begin"/>
      </w:r>
      <w:r w:rsidR="002441FE">
        <w:instrText xml:space="preserve"> ADDIN ZOTERO_ITEM CSL_CITATION {"citationID":"a1770mnhsb9","properties":{"formattedCitation":"(Council, 1987)","plainCitation":"(Council, 1987)"},"citationItems":[{"id":88,"uris":["http://zotero.org/users/local/ONknjWue/items/EL9DA9N4"],"uri":["http://zotero.org/users/local/ONknjWue/items/EL9DA9N4"],"itemData":{"id":88,"type":"chapter","title":"Gene transfer methods applicable to agricultural organisms","container-title":"Agricultural Biotechnology: Strategies for National Competitiveness","publisher":"National Academies Press (US)","author":[{"family":"Council","given":"National Research"}],"issued":{"date-parts":[["1987"]]}}}],"schema":"https://github.com/citation-style-language/schema/raw/master/csl-citation.json"} </w:instrText>
      </w:r>
      <w:r w:rsidR="002441FE">
        <w:fldChar w:fldCharType="separate"/>
      </w:r>
      <w:r w:rsidR="002441FE" w:rsidRPr="002441FE">
        <w:rPr>
          <w:rFonts w:ascii="Times New Roman" w:hAnsi="Times New Roman" w:cs="Times New Roman"/>
        </w:rPr>
        <w:t>(Council, 1987)</w:t>
      </w:r>
      <w:r w:rsidR="002441FE">
        <w:fldChar w:fldCharType="end"/>
      </w:r>
      <w:r>
        <w:t>.</w:t>
      </w:r>
    </w:p>
    <w:p w14:paraId="26FED125" w14:textId="45FF62BC" w:rsidR="006D254A" w:rsidRDefault="005A1906" w:rsidP="006D254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053D7">
        <w:rPr>
          <w:rFonts w:ascii="Times New Roman" w:hAnsi="Times New Roman" w:cs="Times New Roman"/>
          <w:color w:val="222222"/>
          <w:shd w:val="clear" w:color="auto" w:fill="FFFFFF"/>
        </w:rPr>
        <w:t>Major t</w:t>
      </w:r>
      <w:r w:rsidRPr="00D053D7">
        <w:rPr>
          <w:rFonts w:ascii="Times New Roman" w:hAnsi="Times New Roman" w:cs="Times New Roman"/>
          <w:bCs/>
          <w:color w:val="222222"/>
          <w:shd w:val="clear" w:color="auto" w:fill="FFFFFF"/>
        </w:rPr>
        <w:t>raits or features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053D7">
        <w:rPr>
          <w:rFonts w:ascii="Times New Roman" w:hAnsi="Times New Roman" w:cs="Times New Roman"/>
          <w:bCs/>
          <w:color w:val="222222"/>
          <w:shd w:val="clear" w:color="auto" w:fill="FFFFFF"/>
        </w:rPr>
        <w:t>of an organism that have been produced by particular genetic alteration using genetic engineering methods</w:t>
      </w:r>
      <w:r w:rsidRPr="00D053D7">
        <w:rPr>
          <w:rFonts w:ascii="Times New Roman" w:hAnsi="Times New Roman" w:cs="Times New Roman"/>
          <w:color w:val="222222"/>
          <w:shd w:val="clear" w:color="auto" w:fill="FFFFFF"/>
        </w:rPr>
        <w:t>, defined by the Convention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on Biological Diversity </w:t>
      </w: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(CBD) is its modification and </w:t>
      </w:r>
      <w:r w:rsidRPr="00D053D7">
        <w:rPr>
          <w:rFonts w:ascii="Times New Roman" w:hAnsi="Times New Roman" w:cs="Times New Roman"/>
          <w:color w:val="222222"/>
          <w:shd w:val="clear" w:color="auto" w:fill="FFFFFF"/>
        </w:rPr>
        <w:t xml:space="preserve">adapted characteristics. </w:t>
      </w:r>
      <w:r w:rsidRPr="00D053D7">
        <w:rPr>
          <w:rFonts w:ascii="Times New Roman" w:hAnsi="Times New Roman" w:cs="Times New Roman"/>
          <w:color w:val="000000"/>
          <w:shd w:val="clear" w:color="auto" w:fill="FFFFFF"/>
        </w:rPr>
        <w:t>Researchers have relied greatly on favorite classical organisms such a</w:t>
      </w:r>
      <w:r w:rsidR="003C2B6D">
        <w:rPr>
          <w:rFonts w:ascii="Times New Roman" w:hAnsi="Times New Roman" w:cs="Times New Roman"/>
          <w:color w:val="000000"/>
          <w:shd w:val="clear" w:color="auto" w:fill="FFFFFF"/>
        </w:rPr>
        <w:t>s the fruit fly, Drosophila melanogaster</w:t>
      </w:r>
      <w:r w:rsidRPr="00D053D7">
        <w:rPr>
          <w:rFonts w:ascii="Times New Roman" w:hAnsi="Times New Roman" w:cs="Times New Roman"/>
          <w:color w:val="000000"/>
          <w:shd w:val="clear" w:color="auto" w:fill="FFFFFF"/>
        </w:rPr>
        <w:t xml:space="preserve"> and bacterium </w:t>
      </w:r>
      <w:r w:rsidRPr="00D053D7">
        <w:rPr>
          <w:rFonts w:ascii="Times New Roman" w:hAnsi="Times New Roman" w:cs="Times New Roman"/>
          <w:iCs/>
          <w:color w:val="000000"/>
          <w:shd w:val="clear" w:color="auto" w:fill="FFFFFF"/>
        </w:rPr>
        <w:t>Escherichia coli</w:t>
      </w:r>
      <w:r w:rsidRPr="00D053D7">
        <w:rPr>
          <w:rFonts w:ascii="Times New Roman" w:hAnsi="Times New Roman" w:cs="Times New Roman"/>
          <w:color w:val="000000"/>
          <w:shd w:val="clear" w:color="auto" w:fill="FFFFFF"/>
        </w:rPr>
        <w:t xml:space="preserve"> for manipulation and genetic engineering</w:t>
      </w:r>
      <w:r w:rsidR="001A3655">
        <w:rPr>
          <w:rFonts w:ascii="Times New Roman" w:hAnsi="Times New Roman" w:cs="Times New Roman"/>
          <w:color w:val="000000"/>
          <w:shd w:val="clear" w:color="auto" w:fill="FFFFFF"/>
        </w:rPr>
        <w:t xml:space="preserve"> processes. Their acceptance for </w:t>
      </w:r>
      <w:r w:rsidRPr="00D053D7">
        <w:rPr>
          <w:rFonts w:ascii="Times New Roman" w:hAnsi="Times New Roman" w:cs="Times New Roman"/>
          <w:color w:val="000000"/>
          <w:shd w:val="clear" w:color="auto" w:fill="FFFFFF"/>
        </w:rPr>
        <w:t xml:space="preserve">manipulation and </w:t>
      </w:r>
      <w:r w:rsidR="001A3655">
        <w:rPr>
          <w:rFonts w:ascii="Times New Roman" w:hAnsi="Times New Roman" w:cs="Times New Roman"/>
          <w:color w:val="000000"/>
          <w:shd w:val="clear" w:color="auto" w:fill="FFFFFF"/>
        </w:rPr>
        <w:t xml:space="preserve">alteration is another feature to be used in genetic engineering processes. Their body and genetic </w:t>
      </w:r>
      <w:bookmarkStart w:id="0" w:name="_GoBack"/>
      <w:r w:rsidR="001A3655">
        <w:rPr>
          <w:rFonts w:ascii="Times New Roman" w:hAnsi="Times New Roman" w:cs="Times New Roman"/>
          <w:color w:val="000000"/>
          <w:shd w:val="clear" w:color="auto" w:fill="FFFFFF"/>
        </w:rPr>
        <w:t xml:space="preserve">structure is scientifically known which made </w:t>
      </w:r>
      <w:r w:rsidRPr="00D053D7">
        <w:rPr>
          <w:rFonts w:ascii="Times New Roman" w:hAnsi="Times New Roman" w:cs="Times New Roman"/>
          <w:color w:val="000000"/>
          <w:shd w:val="clear" w:color="auto" w:fill="FFFFFF"/>
        </w:rPr>
        <w:t>them favorable organisms for genetic engineering.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End w:id="0"/>
      <w:r w:rsidRPr="00D053D7">
        <w:rPr>
          <w:rFonts w:ascii="Times New Roman" w:hAnsi="Times New Roman" w:cs="Times New Roman"/>
          <w:color w:val="333333"/>
          <w:shd w:val="clear" w:color="auto" w:fill="FFFFFF"/>
        </w:rPr>
        <w:t>Inside the lab atmosphere, bacteria are usually transmuted with an array of DNA using plasmid vectors</w:t>
      </w:r>
      <w:r w:rsidR="002441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41FE">
        <w:rPr>
          <w:rFonts w:ascii="Times New Roman" w:hAnsi="Times New Roman" w:cs="Times New Roman"/>
          <w:color w:val="333333"/>
          <w:shd w:val="clear" w:color="auto" w:fill="FFFFFF"/>
        </w:rPr>
        <w:fldChar w:fldCharType="begin"/>
      </w:r>
      <w:r w:rsidR="002441FE">
        <w:rPr>
          <w:rFonts w:ascii="Times New Roman" w:hAnsi="Times New Roman" w:cs="Times New Roman"/>
          <w:color w:val="333333"/>
          <w:shd w:val="clear" w:color="auto" w:fill="FFFFFF"/>
        </w:rPr>
        <w:instrText xml:space="preserve"> ADDIN ZOTERO_ITEM CSL_CITATION {"citationID":"a1e2v7oj83c","properties":{"formattedCitation":"(Sorek et al., 2007)","plainCitation":"(Sorek et al., 2007)"},"citationItems":[{"id":93,"uris":["http://zotero.org/users/local/ONknjWue/items/IUPRVU5T"],"uri":["http://zotero.org/users/local/ONknjWue/items/IUPRVU5T"],"itemData":{"id":93,"type":"article-journal","title":"Genome-wide experimental determination of barriers to horizontal gene transfer","container-title":"Science","page":"1449-1452","volume":"318","issue":"5855","author":[{"family":"Sorek","given":"Rotem"},{"family":"Zhu","given":"Yiwen"},{"family":"Creevey","given":"Christopher J."},{"family":"Francino","given":"M. Pilar"},{"family":"Bork","given":"Peer"},{"family":"Rubin","given":"Edward M."}],"issued":{"date-parts":[["2007"]]}}}],"schema":"https://github.com/citation-style-language/schema/raw/master/csl-citation.json"} </w:instrText>
      </w:r>
      <w:r w:rsidR="002441FE">
        <w:rPr>
          <w:rFonts w:ascii="Times New Roman" w:hAnsi="Times New Roman" w:cs="Times New Roman"/>
          <w:color w:val="333333"/>
          <w:shd w:val="clear" w:color="auto" w:fill="FFFFFF"/>
        </w:rPr>
        <w:fldChar w:fldCharType="separate"/>
      </w:r>
      <w:r w:rsidR="002441FE" w:rsidRPr="002441FE">
        <w:rPr>
          <w:rFonts w:ascii="Times New Roman" w:hAnsi="Times New Roman" w:cs="Times New Roman"/>
        </w:rPr>
        <w:t>(Sorek et al., 2007)</w:t>
      </w:r>
      <w:r w:rsidR="002441FE">
        <w:rPr>
          <w:rFonts w:ascii="Times New Roman" w:hAnsi="Times New Roman" w:cs="Times New Roman"/>
          <w:color w:val="333333"/>
          <w:shd w:val="clear" w:color="auto" w:fill="FFFFFF"/>
        </w:rPr>
        <w:fldChar w:fldCharType="end"/>
      </w:r>
      <w:r w:rsidRPr="00D053D7">
        <w:rPr>
          <w:rFonts w:ascii="Times New Roman" w:hAnsi="Times New Roman" w:cs="Times New Roman"/>
          <w:color w:val="333333"/>
          <w:shd w:val="clear" w:color="auto" w:fill="FFFFFF"/>
        </w:rPr>
        <w:t>. These naturally arising DNA fragments are round in shape. These DNA molecules can reproduce inside the body of a bacterium without using a bacterial chro</w:t>
      </w:r>
      <w:r w:rsidR="003C2B6D">
        <w:rPr>
          <w:rFonts w:ascii="Times New Roman" w:hAnsi="Times New Roman" w:cs="Times New Roman"/>
          <w:color w:val="333333"/>
          <w:shd w:val="clear" w:color="auto" w:fill="FFFFFF"/>
        </w:rPr>
        <w:t xml:space="preserve">mosome. Plasmid vectors are </w:t>
      </w:r>
      <w:r w:rsidRPr="00D053D7">
        <w:rPr>
          <w:rFonts w:ascii="Times New Roman" w:hAnsi="Times New Roman" w:cs="Times New Roman"/>
          <w:color w:val="333333"/>
          <w:shd w:val="clear" w:color="auto" w:fill="FFFFFF"/>
        </w:rPr>
        <w:t>used in processes of genetic engineering such as cloning, manipulation of genes and transfer of genes.</w:t>
      </w:r>
    </w:p>
    <w:p w14:paraId="1A65824B" w14:textId="2F3BC203" w:rsidR="0068238C" w:rsidRPr="006D254A" w:rsidRDefault="005A1906" w:rsidP="006D254A">
      <w:pPr>
        <w:rPr>
          <w:rFonts w:ascii="Times New Roman" w:hAnsi="Times New Roman" w:cs="Times New Roman"/>
        </w:rPr>
      </w:pPr>
      <w:r w:rsidRPr="00D053D7">
        <w:rPr>
          <w:rFonts w:ascii="Times New Roman" w:hAnsi="Times New Roman" w:cs="Times New Roman"/>
        </w:rPr>
        <w:t xml:space="preserve">The transmission of genes among plant species </w:t>
      </w:r>
      <w:r>
        <w:rPr>
          <w:rFonts w:ascii="Times New Roman" w:hAnsi="Times New Roman" w:cs="Times New Roman"/>
        </w:rPr>
        <w:t xml:space="preserve">by the result of genetic engineering has improved crop production. </w:t>
      </w:r>
      <w:r w:rsidRPr="00D053D7">
        <w:rPr>
          <w:rFonts w:ascii="Times New Roman" w:hAnsi="Times New Roman" w:cs="Times New Roman"/>
        </w:rPr>
        <w:t>Beneficial</w:t>
      </w:r>
      <w:r>
        <w:rPr>
          <w:rFonts w:ascii="Times New Roman" w:hAnsi="Times New Roman" w:cs="Times New Roman"/>
        </w:rPr>
        <w:t xml:space="preserve"> traits have been produced in a wide variety by using recombinant DNA techniques. Genetic engineering is also beneficial for </w:t>
      </w:r>
      <w:r w:rsidRPr="00D053D7">
        <w:rPr>
          <w:rFonts w:ascii="Times New Roman" w:hAnsi="Times New Roman" w:cs="Times New Roman"/>
        </w:rPr>
        <w:t xml:space="preserve">the sources </w:t>
      </w:r>
      <w:r>
        <w:rPr>
          <w:rFonts w:ascii="Times New Roman" w:hAnsi="Times New Roman" w:cs="Times New Roman"/>
        </w:rPr>
        <w:t xml:space="preserve">other than the plants </w:t>
      </w:r>
      <w:r w:rsidRPr="00D053D7">
        <w:rPr>
          <w:rFonts w:ascii="Times New Roman" w:hAnsi="Times New Roman" w:cs="Times New Roman"/>
        </w:rPr>
        <w:t>from which genetic material can be acquired</w:t>
      </w:r>
      <w:r>
        <w:rPr>
          <w:rFonts w:ascii="Times New Roman" w:hAnsi="Times New Roman" w:cs="Times New Roman"/>
        </w:rPr>
        <w:t xml:space="preserve"> for the high production of agricultural products.  </w:t>
      </w:r>
    </w:p>
    <w:p w14:paraId="6B05836A" w14:textId="4D8F5EA9" w:rsidR="0068238C" w:rsidRDefault="005A1906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77F62F8A" w:rsidR="0068238C" w:rsidRDefault="005A1906" w:rsidP="002441FE">
          <w:pPr>
            <w:pStyle w:val="Heading1"/>
            <w:jc w:val="center"/>
          </w:pPr>
          <w:r>
            <w:t>Works Cited</w:t>
          </w:r>
        </w:p>
        <w:p w14:paraId="36E8B006" w14:textId="77777777" w:rsidR="002441FE" w:rsidRPr="002441FE" w:rsidRDefault="005A1906" w:rsidP="002441FE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{"custom":[]} CSL_BIBLIOGRAPHY </w:instrText>
          </w:r>
          <w:r>
            <w:fldChar w:fldCharType="separate"/>
          </w:r>
          <w:r w:rsidRPr="002441FE">
            <w:rPr>
              <w:rFonts w:ascii="Times New Roman" w:hAnsi="Times New Roman" w:cs="Times New Roman"/>
            </w:rPr>
            <w:t xml:space="preserve">Council, N. R. (1987). Gene transfer methods applicable to agricultural organisms. In </w:t>
          </w:r>
          <w:r w:rsidRPr="002441FE">
            <w:rPr>
              <w:rFonts w:ascii="Times New Roman" w:hAnsi="Times New Roman" w:cs="Times New Roman"/>
              <w:i/>
              <w:iCs/>
            </w:rPr>
            <w:t>Agricultural Biotechnology: Strategies for National Competitiveness</w:t>
          </w:r>
          <w:r w:rsidRPr="002441FE">
            <w:rPr>
              <w:rFonts w:ascii="Times New Roman" w:hAnsi="Times New Roman" w:cs="Times New Roman"/>
            </w:rPr>
            <w:t>. National Academies Press (US).</w:t>
          </w:r>
        </w:p>
        <w:p w14:paraId="17B5AB14" w14:textId="77777777" w:rsidR="002441FE" w:rsidRPr="002441FE" w:rsidRDefault="005A1906" w:rsidP="002441FE">
          <w:pPr>
            <w:pStyle w:val="Bibliography"/>
            <w:rPr>
              <w:rFonts w:ascii="Times New Roman" w:hAnsi="Times New Roman" w:cs="Times New Roman"/>
            </w:rPr>
          </w:pPr>
          <w:r w:rsidRPr="002441FE">
            <w:rPr>
              <w:rFonts w:ascii="Times New Roman" w:hAnsi="Times New Roman" w:cs="Times New Roman"/>
            </w:rPr>
            <w:t xml:space="preserve">Daniell, H., Kumar, S., &amp; Dufourmantel, N. (2005). Breakthrough in chloroplast genetic engineering of agronomically important crops. </w:t>
          </w:r>
          <w:r w:rsidRPr="002441FE">
            <w:rPr>
              <w:rFonts w:ascii="Times New Roman" w:hAnsi="Times New Roman" w:cs="Times New Roman"/>
              <w:i/>
              <w:iCs/>
            </w:rPr>
            <w:t>Trends in Biotechnology</w:t>
          </w:r>
          <w:r w:rsidRPr="002441FE">
            <w:rPr>
              <w:rFonts w:ascii="Times New Roman" w:hAnsi="Times New Roman" w:cs="Times New Roman"/>
            </w:rPr>
            <w:t xml:space="preserve">, </w:t>
          </w:r>
          <w:r w:rsidRPr="002441FE">
            <w:rPr>
              <w:rFonts w:ascii="Times New Roman" w:hAnsi="Times New Roman" w:cs="Times New Roman"/>
              <w:i/>
              <w:iCs/>
            </w:rPr>
            <w:t>23</w:t>
          </w:r>
          <w:r w:rsidRPr="002441FE">
            <w:rPr>
              <w:rFonts w:ascii="Times New Roman" w:hAnsi="Times New Roman" w:cs="Times New Roman"/>
            </w:rPr>
            <w:t>(5), 238–245.</w:t>
          </w:r>
        </w:p>
        <w:p w14:paraId="2F70CA06" w14:textId="77777777" w:rsidR="002441FE" w:rsidRPr="002441FE" w:rsidRDefault="005A1906" w:rsidP="002441FE">
          <w:pPr>
            <w:pStyle w:val="Bibliography"/>
            <w:rPr>
              <w:rFonts w:ascii="Times New Roman" w:hAnsi="Times New Roman" w:cs="Times New Roman"/>
            </w:rPr>
          </w:pPr>
          <w:r w:rsidRPr="002441FE">
            <w:rPr>
              <w:rFonts w:ascii="Times New Roman" w:hAnsi="Times New Roman" w:cs="Times New Roman"/>
            </w:rPr>
            <w:t xml:space="preserve">Sorek, R., Zhu, Y., Creevey, C. J., Francino, M. P., Bork, P., &amp; Rubin, E. M. (2007). Genome-wide experimental determination of barriers to horizontal gene transfer. </w:t>
          </w:r>
          <w:r w:rsidRPr="002441FE">
            <w:rPr>
              <w:rFonts w:ascii="Times New Roman" w:hAnsi="Times New Roman" w:cs="Times New Roman"/>
              <w:i/>
              <w:iCs/>
            </w:rPr>
            <w:t>Science</w:t>
          </w:r>
          <w:r w:rsidRPr="002441FE">
            <w:rPr>
              <w:rFonts w:ascii="Times New Roman" w:hAnsi="Times New Roman" w:cs="Times New Roman"/>
            </w:rPr>
            <w:t xml:space="preserve">, </w:t>
          </w:r>
          <w:r w:rsidRPr="002441FE">
            <w:rPr>
              <w:rFonts w:ascii="Times New Roman" w:hAnsi="Times New Roman" w:cs="Times New Roman"/>
              <w:i/>
              <w:iCs/>
            </w:rPr>
            <w:t>318</w:t>
          </w:r>
          <w:r w:rsidRPr="002441FE">
            <w:rPr>
              <w:rFonts w:ascii="Times New Roman" w:hAnsi="Times New Roman" w:cs="Times New Roman"/>
            </w:rPr>
            <w:t>(5855), 1449–1452.</w:t>
          </w:r>
        </w:p>
        <w:p w14:paraId="3AAC8432" w14:textId="7BDC55CE" w:rsidR="0068238C" w:rsidRDefault="005A1906" w:rsidP="0068238C">
          <w:r>
            <w:fldChar w:fldCharType="end"/>
          </w:r>
        </w:p>
      </w:sdtContent>
    </w:sdt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5A1906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5D38" w14:textId="77777777" w:rsidR="004A615C" w:rsidRDefault="004A615C">
      <w:pPr>
        <w:spacing w:line="240" w:lineRule="auto"/>
      </w:pPr>
      <w:r>
        <w:separator/>
      </w:r>
    </w:p>
  </w:endnote>
  <w:endnote w:type="continuationSeparator" w:id="0">
    <w:p w14:paraId="245966E7" w14:textId="77777777" w:rsidR="004A615C" w:rsidRDefault="004A6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6065" w14:textId="77777777" w:rsidR="004A615C" w:rsidRDefault="004A615C">
      <w:pPr>
        <w:spacing w:line="240" w:lineRule="auto"/>
      </w:pPr>
      <w:r>
        <w:separator/>
      </w:r>
    </w:p>
  </w:footnote>
  <w:footnote w:type="continuationSeparator" w:id="0">
    <w:p w14:paraId="179DB773" w14:textId="77777777" w:rsidR="004A615C" w:rsidRDefault="004A6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7777777" w:rsidR="00E614DD" w:rsidRDefault="005A1906">
    <w:pPr>
      <w:pStyle w:val="Header"/>
    </w:pPr>
    <w:proofErr w:type="spellStart"/>
    <w:r w:rsidRPr="005B3768">
      <w:t>Liuzzi</w:t>
    </w:r>
    <w:proofErr w:type="spellEnd"/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356E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77777777" w:rsidR="00E614DD" w:rsidRDefault="005A1906">
    <w:pPr>
      <w:pStyle w:val="Header"/>
    </w:pPr>
    <w:proofErr w:type="spellStart"/>
    <w:r w:rsidRPr="002A5D96">
      <w:t>L</w:t>
    </w:r>
    <w:r w:rsidR="00162E4F">
      <w:t>i</w:t>
    </w:r>
    <w:r w:rsidRPr="002A5D96">
      <w:t>uzzi</w:t>
    </w:r>
    <w:proofErr w:type="spellEnd"/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A365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8B7CD8"/>
    <w:multiLevelType w:val="hybridMultilevel"/>
    <w:tmpl w:val="C22E5A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A83992"/>
    <w:multiLevelType w:val="hybridMultilevel"/>
    <w:tmpl w:val="91BAE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7BBC4F4"/>
    <w:multiLevelType w:val="hybridMultilevel"/>
    <w:tmpl w:val="FCE2B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9E3C4C"/>
    <w:multiLevelType w:val="hybridMultilevel"/>
    <w:tmpl w:val="6256DC96"/>
    <w:lvl w:ilvl="0" w:tplc="44A016D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28224E6" w:tentative="1">
      <w:start w:val="1"/>
      <w:numFmt w:val="lowerLetter"/>
      <w:lvlText w:val="%2."/>
      <w:lvlJc w:val="left"/>
      <w:pPr>
        <w:ind w:left="2160" w:hanging="360"/>
      </w:pPr>
    </w:lvl>
    <w:lvl w:ilvl="2" w:tplc="1536F834" w:tentative="1">
      <w:start w:val="1"/>
      <w:numFmt w:val="lowerRoman"/>
      <w:lvlText w:val="%3."/>
      <w:lvlJc w:val="right"/>
      <w:pPr>
        <w:ind w:left="2880" w:hanging="180"/>
      </w:pPr>
    </w:lvl>
    <w:lvl w:ilvl="3" w:tplc="9F96D1B2" w:tentative="1">
      <w:start w:val="1"/>
      <w:numFmt w:val="decimal"/>
      <w:lvlText w:val="%4."/>
      <w:lvlJc w:val="left"/>
      <w:pPr>
        <w:ind w:left="3600" w:hanging="360"/>
      </w:pPr>
    </w:lvl>
    <w:lvl w:ilvl="4" w:tplc="50343FCA" w:tentative="1">
      <w:start w:val="1"/>
      <w:numFmt w:val="lowerLetter"/>
      <w:lvlText w:val="%5."/>
      <w:lvlJc w:val="left"/>
      <w:pPr>
        <w:ind w:left="4320" w:hanging="360"/>
      </w:pPr>
    </w:lvl>
    <w:lvl w:ilvl="5" w:tplc="77321CEA" w:tentative="1">
      <w:start w:val="1"/>
      <w:numFmt w:val="lowerRoman"/>
      <w:lvlText w:val="%6."/>
      <w:lvlJc w:val="right"/>
      <w:pPr>
        <w:ind w:left="5040" w:hanging="180"/>
      </w:pPr>
    </w:lvl>
    <w:lvl w:ilvl="6" w:tplc="7DACCFCC" w:tentative="1">
      <w:start w:val="1"/>
      <w:numFmt w:val="decimal"/>
      <w:lvlText w:val="%7."/>
      <w:lvlJc w:val="left"/>
      <w:pPr>
        <w:ind w:left="5760" w:hanging="360"/>
      </w:pPr>
    </w:lvl>
    <w:lvl w:ilvl="7" w:tplc="5F281452" w:tentative="1">
      <w:start w:val="1"/>
      <w:numFmt w:val="lowerLetter"/>
      <w:lvlText w:val="%8."/>
      <w:lvlJc w:val="left"/>
      <w:pPr>
        <w:ind w:left="6480" w:hanging="360"/>
      </w:pPr>
    </w:lvl>
    <w:lvl w:ilvl="8" w:tplc="D6A892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0D9B63C"/>
    <w:multiLevelType w:val="hybridMultilevel"/>
    <w:tmpl w:val="8406D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B5787"/>
    <w:multiLevelType w:val="multilevel"/>
    <w:tmpl w:val="4572ABF8"/>
    <w:numStyleLink w:val="MLAOutline"/>
  </w:abstractNum>
  <w:abstractNum w:abstractNumId="23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21"/>
  </w:num>
  <w:num w:numId="13">
    <w:abstractNumId w:val="22"/>
  </w:num>
  <w:num w:numId="14">
    <w:abstractNumId w:val="18"/>
  </w:num>
  <w:num w:numId="15">
    <w:abstractNumId w:val="24"/>
  </w:num>
  <w:num w:numId="16">
    <w:abstractNumId w:val="20"/>
  </w:num>
  <w:num w:numId="17">
    <w:abstractNumId w:val="14"/>
  </w:num>
  <w:num w:numId="18">
    <w:abstractNumId w:val="12"/>
  </w:num>
  <w:num w:numId="19">
    <w:abstractNumId w:val="19"/>
  </w:num>
  <w:num w:numId="20">
    <w:abstractNumId w:val="25"/>
  </w:num>
  <w:num w:numId="21">
    <w:abstractNumId w:val="16"/>
  </w:num>
  <w:num w:numId="22">
    <w:abstractNumId w:val="23"/>
  </w:num>
  <w:num w:numId="23">
    <w:abstractNumId w:val="1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A3655"/>
    <w:rsid w:val="001E68BE"/>
    <w:rsid w:val="001F62C0"/>
    <w:rsid w:val="00224C96"/>
    <w:rsid w:val="00243D1F"/>
    <w:rsid w:val="002441FE"/>
    <w:rsid w:val="00245E02"/>
    <w:rsid w:val="002526B3"/>
    <w:rsid w:val="00275C76"/>
    <w:rsid w:val="002865CE"/>
    <w:rsid w:val="00293574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3C2B6D"/>
    <w:rsid w:val="003F5AFC"/>
    <w:rsid w:val="00446631"/>
    <w:rsid w:val="00456D21"/>
    <w:rsid w:val="0046614C"/>
    <w:rsid w:val="004714EF"/>
    <w:rsid w:val="00492283"/>
    <w:rsid w:val="004A2675"/>
    <w:rsid w:val="004A615C"/>
    <w:rsid w:val="004F7139"/>
    <w:rsid w:val="00571B5C"/>
    <w:rsid w:val="005821B7"/>
    <w:rsid w:val="005A1906"/>
    <w:rsid w:val="005A27BE"/>
    <w:rsid w:val="005B3768"/>
    <w:rsid w:val="005E7D70"/>
    <w:rsid w:val="005F76CB"/>
    <w:rsid w:val="006028B0"/>
    <w:rsid w:val="00611A0D"/>
    <w:rsid w:val="00617134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A681C"/>
    <w:rsid w:val="006C6C0B"/>
    <w:rsid w:val="006D254A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7F5B1C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A38F3"/>
    <w:rsid w:val="009B388E"/>
    <w:rsid w:val="009D4EB3"/>
    <w:rsid w:val="009F500D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16820"/>
    <w:rsid w:val="00C25DA4"/>
    <w:rsid w:val="00C356E2"/>
    <w:rsid w:val="00C36ACF"/>
    <w:rsid w:val="00C446FB"/>
    <w:rsid w:val="00C65104"/>
    <w:rsid w:val="00C704BE"/>
    <w:rsid w:val="00C8291D"/>
    <w:rsid w:val="00C9031F"/>
    <w:rsid w:val="00CC6635"/>
    <w:rsid w:val="00CD455F"/>
    <w:rsid w:val="00D053D7"/>
    <w:rsid w:val="00D11090"/>
    <w:rsid w:val="00D23152"/>
    <w:rsid w:val="00D236BD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E0CB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Default">
    <w:name w:val="Default"/>
    <w:rsid w:val="007F5B1C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902CDA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5D7075"/>
    <w:rsid w:val="00651296"/>
    <w:rsid w:val="006B2372"/>
    <w:rsid w:val="0072165E"/>
    <w:rsid w:val="007474ED"/>
    <w:rsid w:val="00902CDA"/>
    <w:rsid w:val="009378B8"/>
    <w:rsid w:val="00B85F92"/>
    <w:rsid w:val="00BB2B56"/>
    <w:rsid w:val="00BD51CD"/>
    <w:rsid w:val="00BE17F3"/>
    <w:rsid w:val="00C723C1"/>
    <w:rsid w:val="00C80C12"/>
    <w:rsid w:val="00CD273B"/>
    <w:rsid w:val="00E810F9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A43F1-4D6C-4957-9AC3-A5A60ED3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Proofreader</cp:lastModifiedBy>
  <cp:revision>2</cp:revision>
  <dcterms:created xsi:type="dcterms:W3CDTF">2019-09-25T06:09:00Z</dcterms:created>
  <dcterms:modified xsi:type="dcterms:W3CDTF">2019-09-25T06:09:00Z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id="WSLB5RzA"/&gt;&lt;style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