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7C65" w14:textId="77777777" w:rsidR="00CF4875" w:rsidRDefault="00CF4875">
      <w:pPr>
        <w:rPr>
          <w:rFonts w:ascii="Times" w:hAnsi="Times" w:cs="Times"/>
          <w:sz w:val="24"/>
          <w:szCs w:val="24"/>
        </w:rPr>
      </w:pPr>
    </w:p>
    <w:p w14:paraId="48F02EF8" w14:textId="77777777" w:rsidR="003B380B" w:rsidRPr="00CF4875" w:rsidRDefault="003B380B">
      <w:pPr>
        <w:rPr>
          <w:rFonts w:ascii="Times" w:hAnsi="Times" w:cs="Times"/>
          <w:sz w:val="24"/>
          <w:szCs w:val="24"/>
        </w:rPr>
      </w:pPr>
    </w:p>
    <w:p w14:paraId="4146B8BC" w14:textId="77777777" w:rsidR="00CF4875" w:rsidRDefault="00CF4875" w:rsidP="00CF4875">
      <w:pPr>
        <w:jc w:val="center"/>
        <w:rPr>
          <w:rFonts w:ascii="Times" w:hAnsi="Times" w:cs="Times"/>
          <w:sz w:val="24"/>
          <w:szCs w:val="24"/>
        </w:rPr>
      </w:pPr>
    </w:p>
    <w:p w14:paraId="5129D991" w14:textId="77777777" w:rsidR="00CF4875" w:rsidRDefault="00CF4875" w:rsidP="00CF4875">
      <w:pPr>
        <w:jc w:val="center"/>
        <w:rPr>
          <w:rFonts w:ascii="Times" w:hAnsi="Times" w:cs="Times"/>
          <w:sz w:val="24"/>
          <w:szCs w:val="24"/>
        </w:rPr>
      </w:pPr>
    </w:p>
    <w:p w14:paraId="4D8C5E46" w14:textId="77777777" w:rsidR="00CF4875" w:rsidRDefault="00CF4875" w:rsidP="00CF4875">
      <w:pPr>
        <w:jc w:val="center"/>
        <w:rPr>
          <w:rFonts w:ascii="Times" w:hAnsi="Times" w:cs="Times"/>
          <w:sz w:val="24"/>
          <w:szCs w:val="24"/>
        </w:rPr>
      </w:pPr>
    </w:p>
    <w:p w14:paraId="1D099207" w14:textId="77777777" w:rsidR="00CF4875" w:rsidRDefault="00CF4875" w:rsidP="00CF4875">
      <w:pPr>
        <w:jc w:val="center"/>
        <w:rPr>
          <w:rFonts w:ascii="Times" w:hAnsi="Times" w:cs="Times"/>
          <w:sz w:val="24"/>
          <w:szCs w:val="24"/>
        </w:rPr>
      </w:pPr>
    </w:p>
    <w:p w14:paraId="1333CDEB" w14:textId="77777777" w:rsidR="00CF4875" w:rsidRPr="00CF4875" w:rsidRDefault="0032402F" w:rsidP="00CF4875">
      <w:pPr>
        <w:spacing w:after="0"/>
        <w:jc w:val="center"/>
        <w:rPr>
          <w:rFonts w:ascii="Times" w:hAnsi="Times" w:cs="Times"/>
          <w:sz w:val="24"/>
          <w:szCs w:val="24"/>
        </w:rPr>
      </w:pPr>
      <w:r>
        <w:rPr>
          <w:rFonts w:ascii="Times" w:hAnsi="Times" w:cs="Times"/>
          <w:sz w:val="24"/>
          <w:szCs w:val="24"/>
        </w:rPr>
        <w:t>American History – Essay 3</w:t>
      </w:r>
    </w:p>
    <w:p w14:paraId="456F6CC3" w14:textId="77777777" w:rsidR="0032402F" w:rsidRPr="00CF4875" w:rsidRDefault="0032402F" w:rsidP="00CF4875">
      <w:pPr>
        <w:spacing w:after="0"/>
        <w:jc w:val="center"/>
        <w:rPr>
          <w:rFonts w:ascii="Times" w:hAnsi="Times" w:cs="Times"/>
          <w:sz w:val="24"/>
          <w:szCs w:val="24"/>
        </w:rPr>
      </w:pPr>
    </w:p>
    <w:p w14:paraId="5EAC5E1D" w14:textId="77777777" w:rsidR="00CF4875" w:rsidRPr="00CF4875" w:rsidRDefault="00CF4875" w:rsidP="00CF4875">
      <w:pPr>
        <w:jc w:val="center"/>
        <w:rPr>
          <w:rFonts w:ascii="Times" w:hAnsi="Times" w:cs="Times"/>
          <w:sz w:val="24"/>
          <w:szCs w:val="24"/>
        </w:rPr>
      </w:pPr>
    </w:p>
    <w:p w14:paraId="15A3603F" w14:textId="77777777" w:rsidR="00CF4875" w:rsidRDefault="00CF4875" w:rsidP="00CF4875">
      <w:pPr>
        <w:jc w:val="center"/>
        <w:rPr>
          <w:rFonts w:ascii="Times" w:hAnsi="Times" w:cs="Times"/>
          <w:sz w:val="24"/>
          <w:szCs w:val="24"/>
        </w:rPr>
      </w:pPr>
    </w:p>
    <w:p w14:paraId="37AFFEF8" w14:textId="77777777" w:rsidR="00CF4875" w:rsidRDefault="00CF4875" w:rsidP="00CF4875">
      <w:pPr>
        <w:jc w:val="center"/>
        <w:rPr>
          <w:rFonts w:ascii="Times" w:hAnsi="Times" w:cs="Times"/>
          <w:sz w:val="24"/>
          <w:szCs w:val="24"/>
        </w:rPr>
      </w:pPr>
    </w:p>
    <w:p w14:paraId="75D53EC4" w14:textId="77777777" w:rsidR="00CF4875" w:rsidRPr="00CF4875" w:rsidRDefault="0032402F" w:rsidP="00CF4875">
      <w:pPr>
        <w:spacing w:after="0"/>
        <w:jc w:val="center"/>
        <w:rPr>
          <w:rFonts w:ascii="Times" w:hAnsi="Times" w:cs="Times"/>
          <w:sz w:val="24"/>
          <w:szCs w:val="24"/>
        </w:rPr>
      </w:pPr>
      <w:r>
        <w:rPr>
          <w:rFonts w:ascii="Times" w:hAnsi="Times" w:cs="Times"/>
          <w:sz w:val="24"/>
          <w:szCs w:val="24"/>
        </w:rPr>
        <w:t>[Name]</w:t>
      </w:r>
    </w:p>
    <w:p w14:paraId="10D5DAC5" w14:textId="77777777" w:rsidR="00CF4875" w:rsidRPr="00CF4875" w:rsidRDefault="00CF4875" w:rsidP="00CF4875">
      <w:pPr>
        <w:spacing w:after="0"/>
        <w:jc w:val="center"/>
        <w:rPr>
          <w:rFonts w:ascii="Times" w:hAnsi="Times" w:cs="Times"/>
          <w:sz w:val="24"/>
          <w:szCs w:val="24"/>
        </w:rPr>
      </w:pPr>
    </w:p>
    <w:p w14:paraId="77366AE4" w14:textId="77777777" w:rsidR="00CF4875" w:rsidRPr="00CF4875" w:rsidRDefault="00CF4875" w:rsidP="00CF4875">
      <w:pPr>
        <w:jc w:val="center"/>
        <w:rPr>
          <w:rFonts w:ascii="Times" w:hAnsi="Times" w:cs="Times"/>
          <w:sz w:val="24"/>
          <w:szCs w:val="24"/>
        </w:rPr>
      </w:pPr>
    </w:p>
    <w:p w14:paraId="7DAF96EC" w14:textId="77777777" w:rsidR="00CF4875" w:rsidRDefault="00CF4875" w:rsidP="00CF4875">
      <w:pPr>
        <w:jc w:val="center"/>
        <w:rPr>
          <w:rFonts w:ascii="Times" w:hAnsi="Times" w:cs="Times"/>
          <w:sz w:val="24"/>
          <w:szCs w:val="24"/>
        </w:rPr>
      </w:pPr>
    </w:p>
    <w:p w14:paraId="543DE3BA" w14:textId="77777777" w:rsidR="00CF4875" w:rsidRDefault="00CF4875" w:rsidP="00CF4875">
      <w:pPr>
        <w:jc w:val="center"/>
        <w:rPr>
          <w:rFonts w:ascii="Times" w:hAnsi="Times" w:cs="Times"/>
          <w:sz w:val="24"/>
          <w:szCs w:val="24"/>
        </w:rPr>
      </w:pPr>
    </w:p>
    <w:p w14:paraId="65564A7C" w14:textId="77777777" w:rsidR="00CF4875" w:rsidRDefault="00CF4875" w:rsidP="00CF4875">
      <w:pPr>
        <w:jc w:val="center"/>
        <w:rPr>
          <w:rFonts w:ascii="Times" w:hAnsi="Times" w:cs="Times"/>
          <w:sz w:val="24"/>
          <w:szCs w:val="24"/>
        </w:rPr>
      </w:pPr>
    </w:p>
    <w:p w14:paraId="3A7450D0" w14:textId="77777777" w:rsidR="00CF4875" w:rsidRDefault="00CF4875" w:rsidP="00CF4875">
      <w:pPr>
        <w:jc w:val="center"/>
        <w:rPr>
          <w:rFonts w:ascii="Times" w:hAnsi="Times" w:cs="Times"/>
          <w:sz w:val="24"/>
          <w:szCs w:val="24"/>
        </w:rPr>
      </w:pPr>
    </w:p>
    <w:p w14:paraId="1B4D0645" w14:textId="77777777" w:rsidR="00CF4875" w:rsidRDefault="00CF4875" w:rsidP="00CF4875">
      <w:pPr>
        <w:jc w:val="center"/>
        <w:rPr>
          <w:rFonts w:ascii="Times" w:hAnsi="Times" w:cs="Times"/>
          <w:sz w:val="24"/>
          <w:szCs w:val="24"/>
        </w:rPr>
      </w:pPr>
    </w:p>
    <w:p w14:paraId="74F63C36" w14:textId="77777777" w:rsidR="00CF4875" w:rsidRPr="00CF4875" w:rsidRDefault="0032402F" w:rsidP="00CF4875">
      <w:pPr>
        <w:jc w:val="center"/>
        <w:rPr>
          <w:rFonts w:ascii="Times" w:hAnsi="Times" w:cs="Times"/>
          <w:sz w:val="24"/>
          <w:szCs w:val="24"/>
        </w:rPr>
      </w:pPr>
      <w:r>
        <w:rPr>
          <w:rFonts w:ascii="Times" w:hAnsi="Times" w:cs="Times"/>
          <w:sz w:val="24"/>
          <w:szCs w:val="24"/>
        </w:rPr>
        <w:t>[Course code: Title of Course]</w:t>
      </w:r>
    </w:p>
    <w:p w14:paraId="2570D7D5" w14:textId="77777777" w:rsidR="00CF4875" w:rsidRDefault="0032402F" w:rsidP="00CF4875">
      <w:pPr>
        <w:jc w:val="center"/>
        <w:rPr>
          <w:rFonts w:ascii="Times" w:hAnsi="Times" w:cs="Times"/>
          <w:sz w:val="24"/>
          <w:szCs w:val="24"/>
        </w:rPr>
      </w:pPr>
      <w:r>
        <w:rPr>
          <w:rFonts w:ascii="Times" w:hAnsi="Times" w:cs="Times"/>
          <w:sz w:val="24"/>
          <w:szCs w:val="24"/>
        </w:rPr>
        <w:t>[Instructor]</w:t>
      </w:r>
    </w:p>
    <w:p w14:paraId="7514D5BA" w14:textId="77777777" w:rsidR="0032402F" w:rsidRPr="00CF4875" w:rsidRDefault="0032402F" w:rsidP="00CF4875">
      <w:pPr>
        <w:jc w:val="center"/>
        <w:rPr>
          <w:rFonts w:ascii="Times" w:hAnsi="Times" w:cs="Times"/>
          <w:sz w:val="24"/>
          <w:szCs w:val="24"/>
        </w:rPr>
      </w:pPr>
      <w:r>
        <w:rPr>
          <w:rFonts w:ascii="Times" w:hAnsi="Times" w:cs="Times"/>
          <w:sz w:val="24"/>
          <w:szCs w:val="24"/>
        </w:rPr>
        <w:t>[Date]</w:t>
      </w:r>
    </w:p>
    <w:p w14:paraId="3B58281F" w14:textId="77777777" w:rsidR="00CF4875" w:rsidRDefault="0032402F" w:rsidP="00CC37F1">
      <w:pPr>
        <w:spacing w:after="0" w:line="480" w:lineRule="auto"/>
        <w:ind w:firstLine="720"/>
        <w:rPr>
          <w:rFonts w:ascii="Times" w:hAnsi="Times" w:cs="Times"/>
          <w:sz w:val="24"/>
          <w:szCs w:val="24"/>
        </w:rPr>
      </w:pPr>
      <w:r>
        <w:rPr>
          <w:rFonts w:ascii="Times" w:hAnsi="Times" w:cs="Times"/>
          <w:sz w:val="24"/>
          <w:szCs w:val="24"/>
        </w:rPr>
        <w:br w:type="column"/>
      </w:r>
      <w:r w:rsidR="00897BB1">
        <w:rPr>
          <w:rFonts w:ascii="Times" w:hAnsi="Times" w:cs="Times"/>
          <w:sz w:val="24"/>
          <w:szCs w:val="24"/>
        </w:rPr>
        <w:lastRenderedPageBreak/>
        <w:t xml:space="preserve">Discrimination on the basis of sex is a common theme that has dotted the history of </w:t>
      </w:r>
      <w:r w:rsidR="002F5058">
        <w:rPr>
          <w:rFonts w:ascii="Times" w:hAnsi="Times" w:cs="Times"/>
          <w:sz w:val="24"/>
          <w:szCs w:val="24"/>
        </w:rPr>
        <w:t>USA</w:t>
      </w:r>
      <w:r w:rsidR="00C65CC3">
        <w:rPr>
          <w:rFonts w:ascii="Times" w:hAnsi="Times" w:cs="Times"/>
          <w:sz w:val="24"/>
          <w:szCs w:val="24"/>
        </w:rPr>
        <w:t xml:space="preserve">. It existed long before </w:t>
      </w:r>
      <w:r w:rsidR="00712322">
        <w:rPr>
          <w:rFonts w:ascii="Times" w:hAnsi="Times" w:cs="Times"/>
          <w:sz w:val="24"/>
          <w:szCs w:val="24"/>
        </w:rPr>
        <w:t xml:space="preserve">the </w:t>
      </w:r>
      <w:r w:rsidR="00C65CC3">
        <w:rPr>
          <w:rFonts w:ascii="Times" w:hAnsi="Times" w:cs="Times"/>
          <w:sz w:val="24"/>
          <w:szCs w:val="24"/>
        </w:rPr>
        <w:t>U</w:t>
      </w:r>
      <w:r w:rsidR="00712322">
        <w:rPr>
          <w:rFonts w:ascii="Times" w:hAnsi="Times" w:cs="Times"/>
          <w:sz w:val="24"/>
          <w:szCs w:val="24"/>
        </w:rPr>
        <w:t xml:space="preserve">nited </w:t>
      </w:r>
      <w:r w:rsidR="00C65CC3">
        <w:rPr>
          <w:rFonts w:ascii="Times" w:hAnsi="Times" w:cs="Times"/>
          <w:sz w:val="24"/>
          <w:szCs w:val="24"/>
        </w:rPr>
        <w:t>S</w:t>
      </w:r>
      <w:r w:rsidR="00712322">
        <w:rPr>
          <w:rFonts w:ascii="Times" w:hAnsi="Times" w:cs="Times"/>
          <w:sz w:val="24"/>
          <w:szCs w:val="24"/>
        </w:rPr>
        <w:t xml:space="preserve">tates of </w:t>
      </w:r>
      <w:r w:rsidR="00C65CC3">
        <w:rPr>
          <w:rFonts w:ascii="Times" w:hAnsi="Times" w:cs="Times"/>
          <w:sz w:val="24"/>
          <w:szCs w:val="24"/>
        </w:rPr>
        <w:t>A</w:t>
      </w:r>
      <w:r w:rsidR="00712322">
        <w:rPr>
          <w:rFonts w:ascii="Times" w:hAnsi="Times" w:cs="Times"/>
          <w:sz w:val="24"/>
          <w:szCs w:val="24"/>
        </w:rPr>
        <w:t>merica</w:t>
      </w:r>
      <w:r w:rsidR="00C65CC3">
        <w:rPr>
          <w:rFonts w:ascii="Times" w:hAnsi="Times" w:cs="Times"/>
          <w:sz w:val="24"/>
          <w:szCs w:val="24"/>
        </w:rPr>
        <w:t xml:space="preserve"> came into being </w:t>
      </w:r>
      <w:r w:rsidR="009C6D6C">
        <w:rPr>
          <w:rFonts w:ascii="Times" w:hAnsi="Times" w:cs="Times"/>
          <w:sz w:val="24"/>
          <w:szCs w:val="24"/>
        </w:rPr>
        <w:t xml:space="preserve">and the trend continued even after Abigail Adams and warned John Adams to “Remember the Ladies”. She </w:t>
      </w:r>
      <w:r w:rsidR="0060791B">
        <w:rPr>
          <w:rFonts w:ascii="Times" w:hAnsi="Times" w:cs="Times"/>
          <w:sz w:val="24"/>
          <w:szCs w:val="24"/>
        </w:rPr>
        <w:t xml:space="preserve">wanted better treatment for them and asked John Adams not to continue with what was done by our forefathers </w:t>
      </w:r>
      <w:r w:rsidR="00EE0633">
        <w:rPr>
          <w:rStyle w:val="FootnoteReference"/>
          <w:rFonts w:ascii="Times" w:hAnsi="Times" w:cs="Times"/>
          <w:sz w:val="24"/>
          <w:szCs w:val="24"/>
        </w:rPr>
        <w:footnoteReference w:id="1"/>
      </w:r>
      <w:r w:rsidR="00CC37F1">
        <w:rPr>
          <w:rFonts w:ascii="Times" w:hAnsi="Times" w:cs="Times"/>
          <w:sz w:val="24"/>
          <w:szCs w:val="24"/>
        </w:rPr>
        <w:t>. John Adams had laughed at his wife’s words. However, little did he know that she would become the first of the many voices that advocated women’s right</w:t>
      </w:r>
      <w:r w:rsidR="00434C07">
        <w:rPr>
          <w:rFonts w:ascii="Times" w:hAnsi="Times" w:cs="Times"/>
          <w:sz w:val="24"/>
          <w:szCs w:val="24"/>
        </w:rPr>
        <w:t xml:space="preserve">s and equality between the sexes. The history of </w:t>
      </w:r>
      <w:r w:rsidR="00FA3A75">
        <w:rPr>
          <w:rFonts w:ascii="Times" w:hAnsi="Times" w:cs="Times"/>
          <w:sz w:val="24"/>
          <w:szCs w:val="24"/>
        </w:rPr>
        <w:t xml:space="preserve">the </w:t>
      </w:r>
      <w:r w:rsidR="00434C07" w:rsidRPr="00FA3A75">
        <w:rPr>
          <w:rFonts w:ascii="Times" w:hAnsi="Times" w:cs="Times"/>
          <w:noProof/>
          <w:sz w:val="24"/>
          <w:szCs w:val="24"/>
        </w:rPr>
        <w:t>USA</w:t>
      </w:r>
      <w:r w:rsidR="00434C07">
        <w:rPr>
          <w:rFonts w:ascii="Times" w:hAnsi="Times" w:cs="Times"/>
          <w:sz w:val="24"/>
          <w:szCs w:val="24"/>
        </w:rPr>
        <w:t xml:space="preserve"> is fraught with the battle of equality between the sexes. On one end</w:t>
      </w:r>
      <w:r w:rsidR="00CF1BE4">
        <w:rPr>
          <w:rFonts w:ascii="Times" w:hAnsi="Times" w:cs="Times"/>
          <w:sz w:val="24"/>
          <w:szCs w:val="24"/>
        </w:rPr>
        <w:t xml:space="preserve">, women need the right to equal pay and </w:t>
      </w:r>
      <w:r w:rsidR="00FA3A75">
        <w:rPr>
          <w:rFonts w:ascii="Times" w:hAnsi="Times" w:cs="Times"/>
          <w:noProof/>
          <w:sz w:val="24"/>
          <w:szCs w:val="24"/>
        </w:rPr>
        <w:t>ar</w:t>
      </w:r>
      <w:r w:rsidR="00CF1BE4" w:rsidRPr="00FA3A75">
        <w:rPr>
          <w:rFonts w:ascii="Times" w:hAnsi="Times" w:cs="Times"/>
          <w:noProof/>
          <w:sz w:val="24"/>
          <w:szCs w:val="24"/>
        </w:rPr>
        <w:t>e</w:t>
      </w:r>
      <w:r w:rsidR="00CF1BE4">
        <w:rPr>
          <w:rFonts w:ascii="Times" w:hAnsi="Times" w:cs="Times"/>
          <w:sz w:val="24"/>
          <w:szCs w:val="24"/>
        </w:rPr>
        <w:t xml:space="preserve"> seen as a fully functioning member of </w:t>
      </w:r>
      <w:r w:rsidR="00CF1BE4" w:rsidRPr="00FA3A75">
        <w:rPr>
          <w:rFonts w:ascii="Times" w:hAnsi="Times" w:cs="Times"/>
          <w:noProof/>
          <w:sz w:val="24"/>
          <w:szCs w:val="24"/>
        </w:rPr>
        <w:t>society</w:t>
      </w:r>
      <w:r w:rsidR="004633DA">
        <w:rPr>
          <w:rFonts w:ascii="Times" w:hAnsi="Times" w:cs="Times"/>
          <w:sz w:val="24"/>
          <w:szCs w:val="24"/>
        </w:rPr>
        <w:t xml:space="preserve"> </w:t>
      </w:r>
      <w:r w:rsidR="004633DA">
        <w:rPr>
          <w:rStyle w:val="FootnoteReference"/>
          <w:rFonts w:ascii="Times" w:hAnsi="Times" w:cs="Times"/>
          <w:sz w:val="24"/>
          <w:szCs w:val="24"/>
        </w:rPr>
        <w:footnoteReference w:id="2"/>
      </w:r>
      <w:r w:rsidR="00CF1BE4">
        <w:rPr>
          <w:rFonts w:ascii="Times" w:hAnsi="Times" w:cs="Times"/>
          <w:sz w:val="24"/>
          <w:szCs w:val="24"/>
        </w:rPr>
        <w:t>. On the other, we have men that did not receive the same social security and health benefits that women, as caretakes of the ill and disabled, did</w:t>
      </w:r>
      <w:r w:rsidR="007F09A5">
        <w:rPr>
          <w:rFonts w:ascii="Times" w:hAnsi="Times" w:cs="Times"/>
          <w:sz w:val="24"/>
          <w:szCs w:val="24"/>
        </w:rPr>
        <w:t xml:space="preserve"> </w:t>
      </w:r>
      <w:r w:rsidR="007F09A5">
        <w:rPr>
          <w:rStyle w:val="FootnoteReference"/>
          <w:rFonts w:ascii="Times" w:hAnsi="Times" w:cs="Times"/>
          <w:sz w:val="24"/>
          <w:szCs w:val="24"/>
        </w:rPr>
        <w:footnoteReference w:id="3"/>
      </w:r>
      <w:r w:rsidR="00CF1BE4">
        <w:rPr>
          <w:rFonts w:ascii="Times" w:hAnsi="Times" w:cs="Times"/>
          <w:sz w:val="24"/>
          <w:szCs w:val="24"/>
        </w:rPr>
        <w:t>.</w:t>
      </w:r>
      <w:r w:rsidR="00434C07">
        <w:rPr>
          <w:rFonts w:ascii="Times" w:hAnsi="Times" w:cs="Times"/>
          <w:sz w:val="24"/>
          <w:szCs w:val="24"/>
        </w:rPr>
        <w:t xml:space="preserve"> </w:t>
      </w:r>
    </w:p>
    <w:p w14:paraId="4008084D" w14:textId="4AAF88B1" w:rsidR="00A41687" w:rsidRDefault="000410F5" w:rsidP="00CC37F1">
      <w:pPr>
        <w:spacing w:after="0" w:line="480" w:lineRule="auto"/>
        <w:ind w:firstLine="720"/>
        <w:rPr>
          <w:rFonts w:ascii="Times" w:hAnsi="Times" w:cs="Times"/>
          <w:sz w:val="24"/>
          <w:szCs w:val="24"/>
        </w:rPr>
      </w:pPr>
      <w:r>
        <w:rPr>
          <w:rFonts w:ascii="Times" w:hAnsi="Times" w:cs="Times"/>
          <w:sz w:val="24"/>
          <w:szCs w:val="24"/>
        </w:rPr>
        <w:t xml:space="preserve">As mentioned, discrimination </w:t>
      </w:r>
      <w:r w:rsidR="000851FC">
        <w:rPr>
          <w:rFonts w:ascii="Times" w:hAnsi="Times" w:cs="Times"/>
          <w:sz w:val="24"/>
          <w:szCs w:val="24"/>
        </w:rPr>
        <w:t>on the basis of sex</w:t>
      </w:r>
      <w:r>
        <w:rPr>
          <w:rFonts w:ascii="Times" w:hAnsi="Times" w:cs="Times"/>
          <w:sz w:val="24"/>
          <w:szCs w:val="24"/>
        </w:rPr>
        <w:t xml:space="preserve"> is a common theme in US history. However, most of such discrimination is aimed towards women. </w:t>
      </w:r>
      <w:r w:rsidR="007F3987">
        <w:rPr>
          <w:rFonts w:ascii="Times" w:hAnsi="Times" w:cs="Times"/>
          <w:sz w:val="24"/>
          <w:szCs w:val="24"/>
        </w:rPr>
        <w:t xml:space="preserve">Thus, it was rather notable when the case of Charles E. Moritz was brought into the tenth circuit appeals court on the violation of </w:t>
      </w:r>
      <w:r w:rsidR="00FA3A75">
        <w:rPr>
          <w:rFonts w:ascii="Times" w:hAnsi="Times" w:cs="Times"/>
          <w:sz w:val="24"/>
          <w:szCs w:val="24"/>
        </w:rPr>
        <w:t xml:space="preserve">the </w:t>
      </w:r>
      <w:r w:rsidR="007F3987" w:rsidRPr="00FA3A75">
        <w:rPr>
          <w:rFonts w:ascii="Times" w:hAnsi="Times" w:cs="Times"/>
          <w:noProof/>
          <w:sz w:val="24"/>
          <w:szCs w:val="24"/>
        </w:rPr>
        <w:t>Equal</w:t>
      </w:r>
      <w:r w:rsidR="007F3987">
        <w:rPr>
          <w:rFonts w:ascii="Times" w:hAnsi="Times" w:cs="Times"/>
          <w:sz w:val="24"/>
          <w:szCs w:val="24"/>
        </w:rPr>
        <w:t xml:space="preserve"> Protection Clause on the US constitution. According to the </w:t>
      </w:r>
      <w:r w:rsidR="00731226">
        <w:rPr>
          <w:rFonts w:ascii="Times" w:hAnsi="Times" w:cs="Times"/>
          <w:sz w:val="24"/>
          <w:szCs w:val="24"/>
        </w:rPr>
        <w:t xml:space="preserve">clause, found within the text of the Fourteenth Amendment of the US </w:t>
      </w:r>
      <w:r w:rsidR="00FA3A75">
        <w:rPr>
          <w:rFonts w:ascii="Times" w:hAnsi="Times" w:cs="Times"/>
          <w:noProof/>
          <w:sz w:val="24"/>
          <w:szCs w:val="24"/>
        </w:rPr>
        <w:t>C</w:t>
      </w:r>
      <w:r w:rsidR="00731226" w:rsidRPr="00FA3A75">
        <w:rPr>
          <w:rFonts w:ascii="Times" w:hAnsi="Times" w:cs="Times"/>
          <w:noProof/>
          <w:sz w:val="24"/>
          <w:szCs w:val="24"/>
        </w:rPr>
        <w:t>onstitution</w:t>
      </w:r>
      <w:r w:rsidR="00731226">
        <w:rPr>
          <w:rFonts w:ascii="Times" w:hAnsi="Times" w:cs="Times"/>
          <w:sz w:val="24"/>
          <w:szCs w:val="24"/>
        </w:rPr>
        <w:t>, states that “</w:t>
      </w:r>
      <w:r w:rsidR="00731226" w:rsidRPr="00731226">
        <w:rPr>
          <w:rFonts w:ascii="Times" w:hAnsi="Times" w:cs="Times"/>
          <w:sz w:val="24"/>
          <w:szCs w:val="24"/>
        </w:rPr>
        <w:t>nor shall any State [...] deny to any person within its jurisdiction the equal protection of the laws</w:t>
      </w:r>
      <w:r w:rsidR="00731226">
        <w:rPr>
          <w:rFonts w:ascii="Times" w:hAnsi="Times" w:cs="Times"/>
          <w:sz w:val="24"/>
          <w:szCs w:val="24"/>
        </w:rPr>
        <w:t>”.</w:t>
      </w:r>
      <w:r w:rsidR="00A41687">
        <w:rPr>
          <w:rFonts w:ascii="Times" w:hAnsi="Times" w:cs="Times"/>
          <w:sz w:val="24"/>
          <w:szCs w:val="24"/>
        </w:rPr>
        <w:t xml:space="preserve"> </w:t>
      </w:r>
    </w:p>
    <w:p w14:paraId="0F33400D" w14:textId="48C39CD7" w:rsidR="00240E10" w:rsidRDefault="00A41687" w:rsidP="00CC37F1">
      <w:pPr>
        <w:spacing w:after="0" w:line="480" w:lineRule="auto"/>
        <w:ind w:firstLine="720"/>
        <w:rPr>
          <w:rFonts w:ascii="Times" w:hAnsi="Times" w:cs="Times"/>
          <w:sz w:val="24"/>
          <w:szCs w:val="24"/>
        </w:rPr>
      </w:pPr>
      <w:r>
        <w:rPr>
          <w:rFonts w:ascii="Times" w:hAnsi="Times" w:cs="Times"/>
          <w:sz w:val="24"/>
          <w:szCs w:val="24"/>
        </w:rPr>
        <w:t>Charles Moritz, the appellant</w:t>
      </w:r>
      <w:r w:rsidR="00FA3A75">
        <w:rPr>
          <w:rFonts w:ascii="Times" w:hAnsi="Times" w:cs="Times"/>
          <w:sz w:val="24"/>
          <w:szCs w:val="24"/>
        </w:rPr>
        <w:t>,</w:t>
      </w:r>
      <w:r>
        <w:rPr>
          <w:rFonts w:ascii="Times" w:hAnsi="Times" w:cs="Times"/>
          <w:sz w:val="24"/>
          <w:szCs w:val="24"/>
        </w:rPr>
        <w:t xml:space="preserve"> </w:t>
      </w:r>
      <w:r w:rsidRPr="00FA3A75">
        <w:rPr>
          <w:rFonts w:ascii="Times" w:hAnsi="Times" w:cs="Times"/>
          <w:noProof/>
          <w:sz w:val="24"/>
          <w:szCs w:val="24"/>
        </w:rPr>
        <w:t>in</w:t>
      </w:r>
      <w:r>
        <w:rPr>
          <w:rFonts w:ascii="Times" w:hAnsi="Times" w:cs="Times"/>
          <w:sz w:val="24"/>
          <w:szCs w:val="24"/>
        </w:rPr>
        <w:t xml:space="preserve"> this case</w:t>
      </w:r>
      <w:r w:rsidR="007C4757">
        <w:rPr>
          <w:rFonts w:ascii="Times" w:hAnsi="Times" w:cs="Times"/>
          <w:sz w:val="24"/>
          <w:szCs w:val="24"/>
        </w:rPr>
        <w:t>, had claimed a tax deduction on his taxes</w:t>
      </w:r>
      <w:r w:rsidR="00F162C6">
        <w:rPr>
          <w:rFonts w:ascii="Times" w:hAnsi="Times" w:cs="Times"/>
          <w:sz w:val="24"/>
          <w:szCs w:val="24"/>
        </w:rPr>
        <w:t xml:space="preserve"> under Code Section 214</w:t>
      </w:r>
      <w:r w:rsidR="007C4757">
        <w:rPr>
          <w:rFonts w:ascii="Times" w:hAnsi="Times" w:cs="Times"/>
          <w:sz w:val="24"/>
          <w:szCs w:val="24"/>
        </w:rPr>
        <w:t xml:space="preserve">, as </w:t>
      </w:r>
      <w:r w:rsidR="00E2619E">
        <w:rPr>
          <w:rFonts w:ascii="Times" w:hAnsi="Times" w:cs="Times"/>
          <w:sz w:val="24"/>
          <w:szCs w:val="24"/>
        </w:rPr>
        <w:t>caregiver</w:t>
      </w:r>
      <w:r w:rsidR="007C4757">
        <w:rPr>
          <w:rFonts w:ascii="Times" w:hAnsi="Times" w:cs="Times"/>
          <w:sz w:val="24"/>
          <w:szCs w:val="24"/>
        </w:rPr>
        <w:t xml:space="preserve"> cost</w:t>
      </w:r>
      <w:r w:rsidR="00E2619E">
        <w:rPr>
          <w:rFonts w:ascii="Times" w:hAnsi="Times" w:cs="Times"/>
          <w:sz w:val="24"/>
          <w:szCs w:val="24"/>
        </w:rPr>
        <w:t>,</w:t>
      </w:r>
      <w:r w:rsidR="007C4757">
        <w:rPr>
          <w:rFonts w:ascii="Times" w:hAnsi="Times" w:cs="Times"/>
          <w:sz w:val="24"/>
          <w:szCs w:val="24"/>
        </w:rPr>
        <w:t xml:space="preserve"> </w:t>
      </w:r>
      <w:r w:rsidR="00B10F5A">
        <w:rPr>
          <w:rFonts w:ascii="Times" w:hAnsi="Times" w:cs="Times"/>
          <w:sz w:val="24"/>
          <w:szCs w:val="24"/>
        </w:rPr>
        <w:t>since he had brought in a caregiver to look after his invalid mother</w:t>
      </w:r>
      <w:r w:rsidR="007C4757">
        <w:rPr>
          <w:rFonts w:ascii="Times" w:hAnsi="Times" w:cs="Times"/>
          <w:sz w:val="24"/>
          <w:szCs w:val="24"/>
        </w:rPr>
        <w:t xml:space="preserve">. </w:t>
      </w:r>
      <w:r w:rsidR="00FE7F6E">
        <w:rPr>
          <w:rFonts w:ascii="Times" w:hAnsi="Times" w:cs="Times"/>
          <w:sz w:val="24"/>
          <w:szCs w:val="24"/>
        </w:rPr>
        <w:t xml:space="preserve">Mr. Moritz worked as the editor of </w:t>
      </w:r>
      <w:r w:rsidR="00D51DAD">
        <w:rPr>
          <w:rFonts w:ascii="Times" w:hAnsi="Times" w:cs="Times"/>
          <w:sz w:val="24"/>
          <w:szCs w:val="24"/>
        </w:rPr>
        <w:t xml:space="preserve">Lea &amp; </w:t>
      </w:r>
      <w:r w:rsidR="00D51DAD" w:rsidRPr="00FA3A75">
        <w:rPr>
          <w:rFonts w:ascii="Times" w:hAnsi="Times" w:cs="Times"/>
          <w:noProof/>
          <w:sz w:val="24"/>
          <w:szCs w:val="24"/>
        </w:rPr>
        <w:t>Feibiger</w:t>
      </w:r>
      <w:r w:rsidR="00D51DAD">
        <w:rPr>
          <w:rFonts w:ascii="Times" w:hAnsi="Times" w:cs="Times"/>
          <w:sz w:val="24"/>
          <w:szCs w:val="24"/>
        </w:rPr>
        <w:t xml:space="preserve">, a publishing firm. He had a home office, </w:t>
      </w:r>
      <w:r w:rsidR="00D51DAD" w:rsidRPr="00FA3A75">
        <w:rPr>
          <w:rFonts w:ascii="Times" w:hAnsi="Times" w:cs="Times"/>
          <w:noProof/>
          <w:sz w:val="24"/>
          <w:szCs w:val="24"/>
        </w:rPr>
        <w:t>however</w:t>
      </w:r>
      <w:r w:rsidR="00FA3A75">
        <w:rPr>
          <w:rFonts w:ascii="Times" w:hAnsi="Times" w:cs="Times"/>
          <w:noProof/>
          <w:sz w:val="24"/>
          <w:szCs w:val="24"/>
        </w:rPr>
        <w:t>,</w:t>
      </w:r>
      <w:r w:rsidR="00B03284">
        <w:rPr>
          <w:rFonts w:ascii="Times" w:hAnsi="Times" w:cs="Times"/>
          <w:noProof/>
          <w:sz w:val="24"/>
          <w:szCs w:val="24"/>
        </w:rPr>
        <w:t xml:space="preserve"> he had</w:t>
      </w:r>
      <w:r w:rsidR="00D51DAD">
        <w:rPr>
          <w:rFonts w:ascii="Times" w:hAnsi="Times" w:cs="Times"/>
          <w:sz w:val="24"/>
          <w:szCs w:val="24"/>
        </w:rPr>
        <w:t xml:space="preserve"> </w:t>
      </w:r>
      <w:r w:rsidR="00B03284" w:rsidRPr="00B03284">
        <w:rPr>
          <w:rFonts w:ascii="Times" w:hAnsi="Times" w:cs="Times"/>
          <w:sz w:val="24"/>
          <w:szCs w:val="24"/>
        </w:rPr>
        <w:t>to travel to meet with the authors frequently</w:t>
      </w:r>
      <w:r w:rsidR="00D51DAD">
        <w:rPr>
          <w:rFonts w:ascii="Times" w:hAnsi="Times" w:cs="Times"/>
          <w:sz w:val="24"/>
          <w:szCs w:val="24"/>
        </w:rPr>
        <w:t>. Th</w:t>
      </w:r>
      <w:r w:rsidR="00FA3A75">
        <w:rPr>
          <w:rFonts w:ascii="Times" w:hAnsi="Times" w:cs="Times"/>
          <w:sz w:val="24"/>
          <w:szCs w:val="24"/>
        </w:rPr>
        <w:t>u</w:t>
      </w:r>
      <w:r w:rsidR="00D51DAD">
        <w:rPr>
          <w:rFonts w:ascii="Times" w:hAnsi="Times" w:cs="Times"/>
          <w:sz w:val="24"/>
          <w:szCs w:val="24"/>
        </w:rPr>
        <w:t xml:space="preserve">s, he had hired help to </w:t>
      </w:r>
      <w:r w:rsidR="00D51DAD">
        <w:rPr>
          <w:rFonts w:ascii="Times" w:hAnsi="Times" w:cs="Times"/>
          <w:sz w:val="24"/>
          <w:szCs w:val="24"/>
        </w:rPr>
        <w:lastRenderedPageBreak/>
        <w:t xml:space="preserve">care for her mother, who was 89-years old and the time and confined to the wheelchair. </w:t>
      </w:r>
      <w:r w:rsidR="007C4757">
        <w:rPr>
          <w:rFonts w:ascii="Times" w:hAnsi="Times" w:cs="Times"/>
          <w:sz w:val="24"/>
          <w:szCs w:val="24"/>
        </w:rPr>
        <w:t xml:space="preserve">This </w:t>
      </w:r>
      <w:r w:rsidR="00E2619E">
        <w:rPr>
          <w:rFonts w:ascii="Times" w:hAnsi="Times" w:cs="Times"/>
          <w:sz w:val="24"/>
          <w:szCs w:val="24"/>
        </w:rPr>
        <w:t xml:space="preserve">tax </w:t>
      </w:r>
      <w:r w:rsidR="007C4757">
        <w:rPr>
          <w:rFonts w:ascii="Times" w:hAnsi="Times" w:cs="Times"/>
          <w:sz w:val="24"/>
          <w:szCs w:val="24"/>
        </w:rPr>
        <w:t xml:space="preserve">deduction </w:t>
      </w:r>
      <w:r w:rsidR="00E2619E">
        <w:rPr>
          <w:rFonts w:ascii="Times" w:hAnsi="Times" w:cs="Times"/>
          <w:sz w:val="24"/>
          <w:szCs w:val="24"/>
        </w:rPr>
        <w:t>was declined by the IRS.</w:t>
      </w:r>
      <w:r>
        <w:rPr>
          <w:rFonts w:ascii="Times" w:hAnsi="Times" w:cs="Times"/>
          <w:sz w:val="24"/>
          <w:szCs w:val="24"/>
        </w:rPr>
        <w:t xml:space="preserve"> This was a blatant violation of the law on the basis of minor technicalities that were overlooked by those writing the laws.</w:t>
      </w:r>
      <w:r w:rsidR="00E2619E">
        <w:rPr>
          <w:rFonts w:ascii="Times" w:hAnsi="Times" w:cs="Times"/>
          <w:sz w:val="24"/>
          <w:szCs w:val="24"/>
        </w:rPr>
        <w:t xml:space="preserve"> The </w:t>
      </w:r>
      <w:r w:rsidR="00E2619E" w:rsidRPr="00FA3A75">
        <w:rPr>
          <w:rFonts w:ascii="Times" w:hAnsi="Times" w:cs="Times"/>
          <w:noProof/>
          <w:sz w:val="24"/>
          <w:szCs w:val="24"/>
        </w:rPr>
        <w:t>lawmakers</w:t>
      </w:r>
      <w:r w:rsidR="00E2619E">
        <w:rPr>
          <w:rFonts w:ascii="Times" w:hAnsi="Times" w:cs="Times"/>
          <w:sz w:val="24"/>
          <w:szCs w:val="24"/>
        </w:rPr>
        <w:t xml:space="preserve"> presumed a caretaker to always </w:t>
      </w:r>
      <w:r w:rsidR="00F139E2">
        <w:rPr>
          <w:rFonts w:ascii="Times" w:hAnsi="Times" w:cs="Times"/>
          <w:sz w:val="24"/>
          <w:szCs w:val="24"/>
        </w:rPr>
        <w:t>be a wom</w:t>
      </w:r>
      <w:r w:rsidR="00584D20">
        <w:rPr>
          <w:rFonts w:ascii="Times" w:hAnsi="Times" w:cs="Times"/>
          <w:sz w:val="24"/>
          <w:szCs w:val="24"/>
        </w:rPr>
        <w:t>a</w:t>
      </w:r>
      <w:r w:rsidR="00F139E2">
        <w:rPr>
          <w:rFonts w:ascii="Times" w:hAnsi="Times" w:cs="Times"/>
          <w:sz w:val="24"/>
          <w:szCs w:val="24"/>
        </w:rPr>
        <w:t xml:space="preserve">n, thus this law only allowed </w:t>
      </w:r>
      <w:r w:rsidR="00FA3A75">
        <w:rPr>
          <w:rFonts w:ascii="Times" w:hAnsi="Times" w:cs="Times"/>
          <w:sz w:val="24"/>
          <w:szCs w:val="24"/>
        </w:rPr>
        <w:t xml:space="preserve">a </w:t>
      </w:r>
      <w:r w:rsidR="00F139E2" w:rsidRPr="00FA3A75">
        <w:rPr>
          <w:rFonts w:ascii="Times" w:hAnsi="Times" w:cs="Times"/>
          <w:noProof/>
          <w:sz w:val="24"/>
          <w:szCs w:val="24"/>
        </w:rPr>
        <w:t>deduction</w:t>
      </w:r>
      <w:r w:rsidR="00F139E2">
        <w:rPr>
          <w:rFonts w:ascii="Times" w:hAnsi="Times" w:cs="Times"/>
          <w:sz w:val="24"/>
          <w:szCs w:val="24"/>
        </w:rPr>
        <w:t xml:space="preserve"> to </w:t>
      </w:r>
      <w:r w:rsidR="00F139E2" w:rsidRPr="00FA3A75">
        <w:rPr>
          <w:rFonts w:ascii="Times" w:hAnsi="Times" w:cs="Times"/>
          <w:noProof/>
          <w:sz w:val="24"/>
          <w:szCs w:val="24"/>
        </w:rPr>
        <w:t>women</w:t>
      </w:r>
      <w:r w:rsidR="00F139E2">
        <w:rPr>
          <w:rFonts w:ascii="Times" w:hAnsi="Times" w:cs="Times"/>
          <w:sz w:val="24"/>
          <w:szCs w:val="24"/>
        </w:rPr>
        <w:t xml:space="preserve"> and form</w:t>
      </w:r>
      <w:r w:rsidR="00B10F5A">
        <w:rPr>
          <w:rFonts w:ascii="Times" w:hAnsi="Times" w:cs="Times"/>
          <w:sz w:val="24"/>
          <w:szCs w:val="24"/>
        </w:rPr>
        <w:t>er</w:t>
      </w:r>
      <w:r w:rsidR="00F139E2">
        <w:rPr>
          <w:rFonts w:ascii="Times" w:hAnsi="Times" w:cs="Times"/>
          <w:sz w:val="24"/>
          <w:szCs w:val="24"/>
        </w:rPr>
        <w:t xml:space="preserve">ly married men. </w:t>
      </w:r>
      <w:r w:rsidR="00584D20">
        <w:rPr>
          <w:rFonts w:ascii="Times" w:hAnsi="Times" w:cs="Times"/>
          <w:sz w:val="24"/>
          <w:szCs w:val="24"/>
        </w:rPr>
        <w:t xml:space="preserve">The IRS disallowed the tax deduction on the basis of the facts that </w:t>
      </w:r>
      <w:r w:rsidR="00584D20" w:rsidRPr="00FA3A75">
        <w:rPr>
          <w:rFonts w:ascii="Times" w:hAnsi="Times" w:cs="Times"/>
          <w:noProof/>
          <w:sz w:val="24"/>
          <w:szCs w:val="24"/>
        </w:rPr>
        <w:t>Moritz</w:t>
      </w:r>
      <w:r w:rsidR="00584D20">
        <w:rPr>
          <w:rFonts w:ascii="Times" w:hAnsi="Times" w:cs="Times"/>
          <w:sz w:val="24"/>
          <w:szCs w:val="24"/>
        </w:rPr>
        <w:t>, a 63-year-old, was not a woman. Neither had he ever been married before, thus he was deemed ineligible for the tax deduction.</w:t>
      </w:r>
      <w:r w:rsidR="00092B5F">
        <w:rPr>
          <w:rFonts w:ascii="Times" w:hAnsi="Times" w:cs="Times"/>
          <w:sz w:val="24"/>
          <w:szCs w:val="24"/>
        </w:rPr>
        <w:t xml:space="preserve"> He called this deduction by the tax court laws, “</w:t>
      </w:r>
      <w:r w:rsidR="00092B5F" w:rsidRPr="00092B5F">
        <w:rPr>
          <w:rFonts w:ascii="Times" w:hAnsi="Times" w:cs="Times"/>
          <w:sz w:val="24"/>
          <w:szCs w:val="24"/>
        </w:rPr>
        <w:t>arbitrary, capricious and unreasonable</w:t>
      </w:r>
      <w:r w:rsidR="00092B5F">
        <w:rPr>
          <w:rFonts w:ascii="Times" w:hAnsi="Times" w:cs="Times"/>
          <w:sz w:val="24"/>
          <w:szCs w:val="24"/>
        </w:rPr>
        <w:t>”.</w:t>
      </w:r>
    </w:p>
    <w:p w14:paraId="3C2CF08A" w14:textId="1A14F4AC" w:rsidR="00C27630" w:rsidRDefault="00584D20" w:rsidP="00CC37F1">
      <w:pPr>
        <w:spacing w:after="0" w:line="480" w:lineRule="auto"/>
        <w:ind w:firstLine="720"/>
        <w:rPr>
          <w:rFonts w:ascii="Times" w:hAnsi="Times" w:cs="Times"/>
          <w:sz w:val="24"/>
          <w:szCs w:val="24"/>
        </w:rPr>
      </w:pPr>
      <w:r>
        <w:rPr>
          <w:rFonts w:ascii="Times" w:hAnsi="Times" w:cs="Times"/>
          <w:sz w:val="24"/>
          <w:szCs w:val="24"/>
        </w:rPr>
        <w:t xml:space="preserve">At first, Moritz petitioned the US Tax Court, asking them to overrule the IRS on </w:t>
      </w:r>
      <w:r w:rsidR="00FA3A75">
        <w:rPr>
          <w:rFonts w:ascii="Times" w:hAnsi="Times" w:cs="Times"/>
          <w:sz w:val="24"/>
          <w:szCs w:val="24"/>
        </w:rPr>
        <w:t xml:space="preserve">the </w:t>
      </w:r>
      <w:r w:rsidRPr="00FA3A75">
        <w:rPr>
          <w:rFonts w:ascii="Times" w:hAnsi="Times" w:cs="Times"/>
          <w:noProof/>
          <w:sz w:val="24"/>
          <w:szCs w:val="24"/>
        </w:rPr>
        <w:t>ground</w:t>
      </w:r>
      <w:r>
        <w:rPr>
          <w:rFonts w:ascii="Times" w:hAnsi="Times" w:cs="Times"/>
          <w:sz w:val="24"/>
          <w:szCs w:val="24"/>
        </w:rPr>
        <w:t xml:space="preserve"> that he was entitled to the caregiver’s deduction. </w:t>
      </w:r>
      <w:r w:rsidR="00293CBD">
        <w:rPr>
          <w:rFonts w:ascii="Times" w:hAnsi="Times" w:cs="Times"/>
          <w:sz w:val="24"/>
          <w:szCs w:val="24"/>
        </w:rPr>
        <w:t xml:space="preserve">However, the court chose to deny his petition on </w:t>
      </w:r>
      <w:r w:rsidR="005D4CC9">
        <w:rPr>
          <w:rFonts w:ascii="Times" w:hAnsi="Times" w:cs="Times"/>
          <w:sz w:val="24"/>
          <w:szCs w:val="24"/>
        </w:rPr>
        <w:t xml:space="preserve">the </w:t>
      </w:r>
      <w:r w:rsidR="00293CBD">
        <w:rPr>
          <w:rFonts w:ascii="Times" w:hAnsi="Times" w:cs="Times"/>
          <w:sz w:val="24"/>
          <w:szCs w:val="24"/>
        </w:rPr>
        <w:t>grounds that he was not covered by the statute. Th</w:t>
      </w:r>
      <w:r w:rsidR="00F12874">
        <w:rPr>
          <w:rFonts w:ascii="Times" w:hAnsi="Times" w:cs="Times"/>
          <w:sz w:val="24"/>
          <w:szCs w:val="24"/>
        </w:rPr>
        <w:t xml:space="preserve">us, his argument that such a denial was a violation of the </w:t>
      </w:r>
      <w:r w:rsidR="00F12874" w:rsidRPr="00FA3A75">
        <w:rPr>
          <w:rFonts w:ascii="Times" w:hAnsi="Times" w:cs="Times"/>
          <w:noProof/>
          <w:sz w:val="24"/>
          <w:szCs w:val="24"/>
        </w:rPr>
        <w:t>Equal</w:t>
      </w:r>
      <w:r w:rsidR="00F12874">
        <w:rPr>
          <w:rFonts w:ascii="Times" w:hAnsi="Times" w:cs="Times"/>
          <w:sz w:val="24"/>
          <w:szCs w:val="24"/>
        </w:rPr>
        <w:t xml:space="preserve"> Protection Clause and thus, unconstitutional</w:t>
      </w:r>
      <w:r w:rsidR="00C27630">
        <w:rPr>
          <w:rFonts w:ascii="Times" w:hAnsi="Times" w:cs="Times"/>
          <w:sz w:val="24"/>
          <w:szCs w:val="24"/>
        </w:rPr>
        <w:t xml:space="preserve"> fell on deaf ears</w:t>
      </w:r>
      <w:r w:rsidR="00F12874">
        <w:rPr>
          <w:rFonts w:ascii="Times" w:hAnsi="Times" w:cs="Times"/>
          <w:sz w:val="24"/>
          <w:szCs w:val="24"/>
        </w:rPr>
        <w:t xml:space="preserve"> </w:t>
      </w:r>
      <w:r w:rsidR="001E7F5F">
        <w:rPr>
          <w:rStyle w:val="FootnoteReference"/>
          <w:rFonts w:ascii="Times" w:hAnsi="Times" w:cs="Times"/>
          <w:sz w:val="24"/>
          <w:szCs w:val="24"/>
        </w:rPr>
        <w:footnoteReference w:id="4"/>
      </w:r>
      <w:r w:rsidR="00F12874">
        <w:rPr>
          <w:rFonts w:ascii="Times" w:hAnsi="Times" w:cs="Times"/>
          <w:sz w:val="24"/>
          <w:szCs w:val="24"/>
        </w:rPr>
        <w:t>.</w:t>
      </w:r>
    </w:p>
    <w:p w14:paraId="2314B25B" w14:textId="77777777" w:rsidR="00D60A07" w:rsidRDefault="00C27630" w:rsidP="00CC37F1">
      <w:pPr>
        <w:spacing w:after="0" w:line="480" w:lineRule="auto"/>
        <w:ind w:firstLine="720"/>
        <w:rPr>
          <w:rFonts w:ascii="Times" w:hAnsi="Times" w:cs="Times"/>
          <w:sz w:val="24"/>
          <w:szCs w:val="24"/>
        </w:rPr>
      </w:pPr>
      <w:r>
        <w:rPr>
          <w:rFonts w:ascii="Times" w:hAnsi="Times" w:cs="Times"/>
          <w:sz w:val="24"/>
          <w:szCs w:val="24"/>
        </w:rPr>
        <w:t xml:space="preserve">By this point, Moritz had realized that the only remedy for his case did not lie with </w:t>
      </w:r>
      <w:r w:rsidR="00FA3A75">
        <w:rPr>
          <w:rFonts w:ascii="Times" w:hAnsi="Times" w:cs="Times"/>
          <w:sz w:val="24"/>
          <w:szCs w:val="24"/>
        </w:rPr>
        <w:t xml:space="preserve">the </w:t>
      </w:r>
      <w:r w:rsidRPr="00FA3A75">
        <w:rPr>
          <w:rFonts w:ascii="Times" w:hAnsi="Times" w:cs="Times"/>
          <w:noProof/>
          <w:sz w:val="24"/>
          <w:szCs w:val="24"/>
        </w:rPr>
        <w:t>court</w:t>
      </w:r>
      <w:r>
        <w:rPr>
          <w:rFonts w:ascii="Times" w:hAnsi="Times" w:cs="Times"/>
          <w:sz w:val="24"/>
          <w:szCs w:val="24"/>
        </w:rPr>
        <w:t xml:space="preserve">, but with congress. Thus, came in the </w:t>
      </w:r>
      <w:r w:rsidRPr="00FA3A75">
        <w:rPr>
          <w:rFonts w:ascii="Times" w:hAnsi="Times" w:cs="Times"/>
          <w:noProof/>
          <w:sz w:val="24"/>
          <w:szCs w:val="24"/>
        </w:rPr>
        <w:t>husband-wi</w:t>
      </w:r>
      <w:r w:rsidR="00FA3A75">
        <w:rPr>
          <w:rFonts w:ascii="Times" w:hAnsi="Times" w:cs="Times"/>
          <w:noProof/>
          <w:sz w:val="24"/>
          <w:szCs w:val="24"/>
        </w:rPr>
        <w:t>f</w:t>
      </w:r>
      <w:r w:rsidRPr="00FA3A75">
        <w:rPr>
          <w:rFonts w:ascii="Times" w:hAnsi="Times" w:cs="Times"/>
          <w:noProof/>
          <w:sz w:val="24"/>
          <w:szCs w:val="24"/>
        </w:rPr>
        <w:t>e</w:t>
      </w:r>
      <w:r>
        <w:rPr>
          <w:rFonts w:ascii="Times" w:hAnsi="Times" w:cs="Times"/>
          <w:sz w:val="24"/>
          <w:szCs w:val="24"/>
        </w:rPr>
        <w:t xml:space="preserve"> duo, Martin Ginsberg and, the present supreme court justice, Ruth Bader Ginsberg.</w:t>
      </w:r>
      <w:r w:rsidR="00D60A07">
        <w:rPr>
          <w:rFonts w:ascii="Times" w:hAnsi="Times" w:cs="Times"/>
          <w:sz w:val="24"/>
          <w:szCs w:val="24"/>
        </w:rPr>
        <w:t xml:space="preserve"> The appealed to the Tenth Circuit and not only got Moritz the deduction he rightfully deserved, but they were also successful in overturning </w:t>
      </w:r>
      <w:r w:rsidR="00D60A07" w:rsidRPr="00FA3A75">
        <w:rPr>
          <w:rFonts w:ascii="Times" w:hAnsi="Times" w:cs="Times"/>
          <w:noProof/>
          <w:sz w:val="24"/>
          <w:szCs w:val="24"/>
        </w:rPr>
        <w:t>section</w:t>
      </w:r>
      <w:r w:rsidR="00D60A07">
        <w:rPr>
          <w:rFonts w:ascii="Times" w:hAnsi="Times" w:cs="Times"/>
          <w:sz w:val="24"/>
          <w:szCs w:val="24"/>
        </w:rPr>
        <w:t xml:space="preserve"> 214 by making it all-inclusive</w:t>
      </w:r>
      <w:r w:rsidR="001F75AC">
        <w:rPr>
          <w:rFonts w:ascii="Times" w:hAnsi="Times" w:cs="Times"/>
          <w:sz w:val="24"/>
          <w:szCs w:val="24"/>
        </w:rPr>
        <w:t xml:space="preserve"> </w:t>
      </w:r>
      <w:r w:rsidR="005D5015">
        <w:rPr>
          <w:rStyle w:val="FootnoteReference"/>
          <w:rFonts w:ascii="Times" w:hAnsi="Times" w:cs="Times"/>
          <w:sz w:val="24"/>
          <w:szCs w:val="24"/>
        </w:rPr>
        <w:footnoteReference w:id="5"/>
      </w:r>
      <w:r w:rsidR="00D60A07">
        <w:rPr>
          <w:rFonts w:ascii="Times" w:hAnsi="Times" w:cs="Times"/>
          <w:sz w:val="24"/>
          <w:szCs w:val="24"/>
        </w:rPr>
        <w:t>.</w:t>
      </w:r>
    </w:p>
    <w:p w14:paraId="6C0B06D3" w14:textId="4B1BCCB6" w:rsidR="00584D20" w:rsidRDefault="00F12874" w:rsidP="00CC37F1">
      <w:pPr>
        <w:spacing w:after="0" w:line="480" w:lineRule="auto"/>
        <w:ind w:firstLine="720"/>
        <w:rPr>
          <w:rFonts w:ascii="Times" w:hAnsi="Times" w:cs="Times"/>
          <w:sz w:val="24"/>
          <w:szCs w:val="24"/>
        </w:rPr>
      </w:pPr>
      <w:r>
        <w:rPr>
          <w:rFonts w:ascii="Times" w:hAnsi="Times" w:cs="Times"/>
          <w:sz w:val="24"/>
          <w:szCs w:val="24"/>
        </w:rPr>
        <w:t xml:space="preserve"> </w:t>
      </w:r>
      <w:r w:rsidR="002264F2">
        <w:rPr>
          <w:rFonts w:ascii="Times" w:hAnsi="Times" w:cs="Times"/>
          <w:sz w:val="24"/>
          <w:szCs w:val="24"/>
        </w:rPr>
        <w:t xml:space="preserve">The fact that this case stood out among the rest was that this was </w:t>
      </w:r>
      <w:r w:rsidR="00FA3A75">
        <w:rPr>
          <w:rFonts w:ascii="Times" w:hAnsi="Times" w:cs="Times"/>
          <w:sz w:val="24"/>
          <w:szCs w:val="24"/>
        </w:rPr>
        <w:t xml:space="preserve">a </w:t>
      </w:r>
      <w:r w:rsidR="002264F2" w:rsidRPr="00FA3A75">
        <w:rPr>
          <w:rFonts w:ascii="Times" w:hAnsi="Times" w:cs="Times"/>
          <w:noProof/>
          <w:sz w:val="24"/>
          <w:szCs w:val="24"/>
        </w:rPr>
        <w:t>case</w:t>
      </w:r>
      <w:r w:rsidR="002264F2">
        <w:rPr>
          <w:rFonts w:ascii="Times" w:hAnsi="Times" w:cs="Times"/>
          <w:sz w:val="24"/>
          <w:szCs w:val="24"/>
        </w:rPr>
        <w:t xml:space="preserve"> of gender discrimination against a man. By that point, the women in the US knew that if they wanted to get an education, they would have to turn the other cheek when the men of the society asked why </w:t>
      </w:r>
      <w:r w:rsidR="00CE1CDE">
        <w:rPr>
          <w:rFonts w:ascii="Times" w:hAnsi="Times" w:cs="Times"/>
          <w:sz w:val="24"/>
          <w:szCs w:val="24"/>
        </w:rPr>
        <w:t>they would</w:t>
      </w:r>
      <w:r w:rsidR="002264F2">
        <w:rPr>
          <w:rFonts w:ascii="Times" w:hAnsi="Times" w:cs="Times"/>
          <w:sz w:val="24"/>
          <w:szCs w:val="24"/>
        </w:rPr>
        <w:t xml:space="preserve"> need one to run a house. </w:t>
      </w:r>
      <w:r w:rsidR="00CE1CDE">
        <w:rPr>
          <w:rFonts w:ascii="Times" w:hAnsi="Times" w:cs="Times"/>
          <w:sz w:val="24"/>
          <w:szCs w:val="24"/>
        </w:rPr>
        <w:t>If</w:t>
      </w:r>
      <w:r w:rsidR="002264F2">
        <w:rPr>
          <w:rFonts w:ascii="Times" w:hAnsi="Times" w:cs="Times"/>
          <w:sz w:val="24"/>
          <w:szCs w:val="24"/>
        </w:rPr>
        <w:t xml:space="preserve"> the</w:t>
      </w:r>
      <w:r w:rsidR="00CE1CDE">
        <w:rPr>
          <w:rFonts w:ascii="Times" w:hAnsi="Times" w:cs="Times"/>
          <w:sz w:val="24"/>
          <w:szCs w:val="24"/>
        </w:rPr>
        <w:t xml:space="preserve">y wanted to keep their jobs, they would have to keep </w:t>
      </w:r>
      <w:r w:rsidR="00CE1CDE">
        <w:rPr>
          <w:rFonts w:ascii="Times" w:hAnsi="Times" w:cs="Times"/>
          <w:sz w:val="24"/>
          <w:szCs w:val="24"/>
        </w:rPr>
        <w:lastRenderedPageBreak/>
        <w:t xml:space="preserve">their heads down and do what the men said. If they were harassed at work, they did not know any better since they considered themselves lucky </w:t>
      </w:r>
      <w:r w:rsidR="005D4CC9" w:rsidRPr="005D4CC9">
        <w:rPr>
          <w:rFonts w:ascii="Times" w:hAnsi="Times" w:cs="Times"/>
          <w:sz w:val="24"/>
          <w:szCs w:val="24"/>
        </w:rPr>
        <w:t>to have a job in the first place</w:t>
      </w:r>
      <w:r w:rsidR="00CE1CDE">
        <w:rPr>
          <w:rFonts w:ascii="Times" w:hAnsi="Times" w:cs="Times"/>
          <w:sz w:val="24"/>
          <w:szCs w:val="24"/>
        </w:rPr>
        <w:t>.</w:t>
      </w:r>
    </w:p>
    <w:p w14:paraId="7E11CE93" w14:textId="77777777" w:rsidR="00141F79" w:rsidRDefault="00216074" w:rsidP="00141F79">
      <w:pPr>
        <w:spacing w:after="0" w:line="480" w:lineRule="auto"/>
        <w:ind w:firstLine="720"/>
        <w:rPr>
          <w:rFonts w:ascii="Times" w:hAnsi="Times" w:cs="Times"/>
          <w:sz w:val="24"/>
          <w:szCs w:val="24"/>
        </w:rPr>
      </w:pPr>
      <w:r>
        <w:rPr>
          <w:rFonts w:ascii="Times" w:hAnsi="Times" w:cs="Times"/>
          <w:sz w:val="24"/>
          <w:szCs w:val="24"/>
        </w:rPr>
        <w:t xml:space="preserve">From </w:t>
      </w:r>
      <w:r w:rsidRPr="00FA3A75">
        <w:rPr>
          <w:rFonts w:ascii="Times" w:hAnsi="Times" w:cs="Times"/>
          <w:noProof/>
          <w:sz w:val="24"/>
          <w:szCs w:val="24"/>
        </w:rPr>
        <w:t>1970</w:t>
      </w:r>
      <w:r>
        <w:rPr>
          <w:rFonts w:ascii="Times" w:hAnsi="Times" w:cs="Times"/>
          <w:sz w:val="24"/>
          <w:szCs w:val="24"/>
        </w:rPr>
        <w:t xml:space="preserve"> to date, women like Ruth Bader Ginsburg, Dorothy Kenyon</w:t>
      </w:r>
      <w:r w:rsidR="00EF33E8">
        <w:rPr>
          <w:rFonts w:ascii="Times" w:hAnsi="Times" w:cs="Times"/>
          <w:sz w:val="24"/>
          <w:szCs w:val="24"/>
        </w:rPr>
        <w:t xml:space="preserve">, and Gloria Steinem became the voice of the voiceless and worked to make sure that America was a nation which gave its citizens the right to enjoy equal rights in all spheres of life. Where it does not discriminate between a single father </w:t>
      </w:r>
      <w:r w:rsidR="00141F79">
        <w:rPr>
          <w:rFonts w:ascii="Times" w:hAnsi="Times" w:cs="Times"/>
          <w:sz w:val="24"/>
          <w:szCs w:val="24"/>
        </w:rPr>
        <w:t>caring for five kids in the absence of a wife, or a woman pursuing her dreams and climbing the corporate ladder.</w:t>
      </w:r>
    </w:p>
    <w:p w14:paraId="0C2EDC69" w14:textId="77777777" w:rsidR="00E3372F" w:rsidRDefault="00141F79" w:rsidP="00141F79">
      <w:pPr>
        <w:spacing w:after="0" w:line="480" w:lineRule="auto"/>
        <w:ind w:firstLine="720"/>
        <w:rPr>
          <w:rFonts w:ascii="Times" w:hAnsi="Times" w:cs="Times"/>
          <w:sz w:val="24"/>
          <w:szCs w:val="24"/>
        </w:rPr>
      </w:pPr>
      <w:r w:rsidRPr="005C283F">
        <w:rPr>
          <w:rFonts w:ascii="Times" w:hAnsi="Times" w:cs="Times"/>
          <w:i/>
          <w:sz w:val="24"/>
          <w:szCs w:val="24"/>
        </w:rPr>
        <w:t>Moritz v. Commissioner</w:t>
      </w:r>
      <w:r w:rsidRPr="00141F79">
        <w:rPr>
          <w:rFonts w:ascii="Times" w:hAnsi="Times" w:cs="Times"/>
          <w:sz w:val="24"/>
          <w:szCs w:val="24"/>
        </w:rPr>
        <w:t>, 55 T.C. 113 (1970)</w:t>
      </w:r>
      <w:r w:rsidR="00C15CD6">
        <w:rPr>
          <w:rFonts w:ascii="Times" w:hAnsi="Times" w:cs="Times"/>
          <w:sz w:val="24"/>
          <w:szCs w:val="24"/>
        </w:rPr>
        <w:t xml:space="preserve"> </w:t>
      </w:r>
      <w:r w:rsidR="00C15CD6">
        <w:rPr>
          <w:rStyle w:val="FootnoteReference"/>
          <w:rFonts w:ascii="Times" w:hAnsi="Times" w:cs="Times"/>
          <w:sz w:val="24"/>
          <w:szCs w:val="24"/>
        </w:rPr>
        <w:footnoteReference w:id="6"/>
      </w:r>
      <w:r w:rsidR="005C283F">
        <w:rPr>
          <w:rFonts w:ascii="Times" w:hAnsi="Times" w:cs="Times"/>
          <w:sz w:val="24"/>
          <w:szCs w:val="24"/>
        </w:rPr>
        <w:t xml:space="preserve">, was a simple case, but its landmark court decision changed history. For the first time, discrimination on the basis of sex was considered unconstitutional and hence overruled in the appeals court. This became the basis of </w:t>
      </w:r>
      <w:r w:rsidR="00856162">
        <w:rPr>
          <w:rFonts w:ascii="Times" w:hAnsi="Times" w:cs="Times"/>
          <w:sz w:val="24"/>
          <w:szCs w:val="24"/>
        </w:rPr>
        <w:t>many cases taken on by Ginsburg and other activists across the country in an effort to overturn laws that were written on the basis of assumption and socially constructed gender roles.</w:t>
      </w:r>
      <w:r w:rsidR="00D37822">
        <w:rPr>
          <w:rFonts w:ascii="Times" w:hAnsi="Times" w:cs="Times"/>
          <w:sz w:val="24"/>
          <w:szCs w:val="24"/>
        </w:rPr>
        <w:t xml:space="preserve"> This case, and many that </w:t>
      </w:r>
      <w:r w:rsidR="00D37822" w:rsidRPr="00FA3A75">
        <w:rPr>
          <w:rFonts w:ascii="Times" w:hAnsi="Times" w:cs="Times"/>
          <w:noProof/>
          <w:sz w:val="24"/>
          <w:szCs w:val="24"/>
        </w:rPr>
        <w:t>followed</w:t>
      </w:r>
      <w:r w:rsidR="00D37822">
        <w:rPr>
          <w:rFonts w:ascii="Times" w:hAnsi="Times" w:cs="Times"/>
          <w:sz w:val="24"/>
          <w:szCs w:val="24"/>
        </w:rPr>
        <w:t xml:space="preserve"> showed that a court </w:t>
      </w:r>
      <w:r w:rsidR="00FA3A75">
        <w:rPr>
          <w:rFonts w:ascii="Times" w:hAnsi="Times" w:cs="Times"/>
          <w:sz w:val="24"/>
          <w:szCs w:val="24"/>
        </w:rPr>
        <w:t>“</w:t>
      </w:r>
      <w:r w:rsidR="00FA3A75" w:rsidRPr="00FA3A75">
        <w:rPr>
          <w:rFonts w:ascii="Times" w:hAnsi="Times" w:cs="Times"/>
          <w:sz w:val="24"/>
          <w:szCs w:val="24"/>
        </w:rPr>
        <w:t>ought not to be affected by the weather of the day but by the climate of the era</w:t>
      </w:r>
      <w:r w:rsidR="00FA3A75">
        <w:rPr>
          <w:rFonts w:ascii="Times" w:hAnsi="Times" w:cs="Times"/>
          <w:sz w:val="24"/>
          <w:szCs w:val="24"/>
        </w:rPr>
        <w:t>”, as mentioned by a law professor at Harvard called Paul Freund.</w:t>
      </w:r>
      <w:r w:rsidR="00856162">
        <w:rPr>
          <w:rFonts w:ascii="Times" w:hAnsi="Times" w:cs="Times"/>
          <w:sz w:val="24"/>
          <w:szCs w:val="24"/>
        </w:rPr>
        <w:t xml:space="preserve"> It brought an entire generation out of sex-based oppression and </w:t>
      </w:r>
      <w:r w:rsidR="00D37822">
        <w:rPr>
          <w:rFonts w:ascii="Times" w:hAnsi="Times" w:cs="Times"/>
          <w:sz w:val="24"/>
          <w:szCs w:val="24"/>
        </w:rPr>
        <w:t>this, was world-changing, at its core.</w:t>
      </w:r>
    </w:p>
    <w:p w14:paraId="7CCA571F" w14:textId="77777777" w:rsidR="00797F1D" w:rsidRPr="00E3372F" w:rsidRDefault="00797F1D" w:rsidP="00797F1D">
      <w:pPr>
        <w:spacing w:after="0" w:line="480" w:lineRule="auto"/>
        <w:rPr>
          <w:rFonts w:ascii="Times" w:hAnsi="Times" w:cs="Times"/>
          <w:b/>
          <w:sz w:val="24"/>
          <w:szCs w:val="24"/>
        </w:rPr>
      </w:pPr>
      <w:r w:rsidRPr="00E3372F">
        <w:rPr>
          <w:rFonts w:ascii="Times" w:hAnsi="Times" w:cs="Times"/>
          <w:b/>
          <w:sz w:val="24"/>
          <w:szCs w:val="24"/>
        </w:rPr>
        <w:t xml:space="preserve"> </w:t>
      </w:r>
    </w:p>
    <w:p w14:paraId="797D3C31" w14:textId="7EFBA42B" w:rsidR="00E3372F" w:rsidRDefault="00C35095" w:rsidP="00C35095">
      <w:pPr>
        <w:spacing w:after="0" w:line="480" w:lineRule="auto"/>
        <w:jc w:val="center"/>
        <w:rPr>
          <w:rFonts w:ascii="Times" w:hAnsi="Times" w:cs="Times"/>
          <w:b/>
          <w:sz w:val="24"/>
          <w:szCs w:val="24"/>
        </w:rPr>
      </w:pPr>
      <w:r>
        <w:rPr>
          <w:rFonts w:ascii="Times" w:hAnsi="Times" w:cs="Times"/>
          <w:b/>
          <w:sz w:val="24"/>
          <w:szCs w:val="24"/>
        </w:rPr>
        <w:br w:type="column"/>
      </w:r>
      <w:r>
        <w:rPr>
          <w:rFonts w:ascii="Times" w:hAnsi="Times" w:cs="Times"/>
          <w:b/>
          <w:sz w:val="24"/>
          <w:szCs w:val="24"/>
        </w:rPr>
        <w:lastRenderedPageBreak/>
        <w:t>References</w:t>
      </w:r>
    </w:p>
    <w:p w14:paraId="62D437F8" w14:textId="77777777" w:rsidR="000851FC" w:rsidRPr="000851FC" w:rsidRDefault="000851FC" w:rsidP="000851FC">
      <w:pPr>
        <w:pStyle w:val="Bibliography"/>
        <w:numPr>
          <w:ilvl w:val="0"/>
          <w:numId w:val="2"/>
        </w:numPr>
        <w:spacing w:line="480" w:lineRule="auto"/>
        <w:rPr>
          <w:rFonts w:ascii="Times" w:hAnsi="Times" w:cs="Times"/>
          <w:sz w:val="24"/>
        </w:rPr>
      </w:pPr>
      <w:r>
        <w:rPr>
          <w:rFonts w:ascii="Times" w:hAnsi="Times" w:cs="Times"/>
          <w:b/>
        </w:rPr>
        <w:fldChar w:fldCharType="begin"/>
      </w:r>
      <w:r>
        <w:rPr>
          <w:rFonts w:ascii="Times" w:hAnsi="Times" w:cs="Times"/>
          <w:b/>
        </w:rPr>
        <w:instrText xml:space="preserve"> ADDIN ZOTERO_BIBL {"uncited":[],"omitted":[],"custom":[]} CSL_BIBLIOGRAPHY </w:instrText>
      </w:r>
      <w:r>
        <w:rPr>
          <w:rFonts w:ascii="Times" w:hAnsi="Times" w:cs="Times"/>
          <w:b/>
        </w:rPr>
        <w:fldChar w:fldCharType="separate"/>
      </w:r>
      <w:r w:rsidRPr="000851FC">
        <w:rPr>
          <w:rFonts w:ascii="Times" w:hAnsi="Times" w:cs="Times"/>
          <w:sz w:val="24"/>
        </w:rPr>
        <w:t>Appeals, United States Court of, and Tenth Circuit. “Moritz v. Commissioner, 55 T.C. 113” F2d, no. 469 (November 22, 1972): 466.</w:t>
      </w:r>
    </w:p>
    <w:p w14:paraId="02740229" w14:textId="77777777" w:rsidR="000851FC" w:rsidRPr="000851FC" w:rsidRDefault="000851FC" w:rsidP="000851FC">
      <w:pPr>
        <w:pStyle w:val="Bibliography"/>
        <w:numPr>
          <w:ilvl w:val="0"/>
          <w:numId w:val="2"/>
        </w:numPr>
        <w:spacing w:line="480" w:lineRule="auto"/>
        <w:rPr>
          <w:rFonts w:ascii="Times" w:hAnsi="Times" w:cs="Times"/>
          <w:sz w:val="24"/>
        </w:rPr>
      </w:pPr>
      <w:r w:rsidRPr="000851FC">
        <w:rPr>
          <w:rFonts w:ascii="Times" w:hAnsi="Times" w:cs="Times"/>
          <w:sz w:val="24"/>
        </w:rPr>
        <w:t xml:space="preserve">Crane, Elaine Forman. “Abigail Adams, Gender Politics, and" The History of Emily Montague": A Postscript.” </w:t>
      </w:r>
      <w:r w:rsidRPr="000851FC">
        <w:rPr>
          <w:rFonts w:ascii="Times" w:hAnsi="Times" w:cs="Times"/>
          <w:i/>
          <w:iCs/>
          <w:sz w:val="24"/>
        </w:rPr>
        <w:t>The William and Mary Quarterly</w:t>
      </w:r>
      <w:r w:rsidRPr="000851FC">
        <w:rPr>
          <w:rFonts w:ascii="Times" w:hAnsi="Times" w:cs="Times"/>
          <w:sz w:val="24"/>
        </w:rPr>
        <w:t xml:space="preserve"> 64, no. 4 (2007): 839–44.</w:t>
      </w:r>
    </w:p>
    <w:p w14:paraId="378382F0" w14:textId="77777777" w:rsidR="000851FC" w:rsidRPr="000851FC" w:rsidRDefault="000851FC" w:rsidP="000851FC">
      <w:pPr>
        <w:pStyle w:val="Bibliography"/>
        <w:numPr>
          <w:ilvl w:val="0"/>
          <w:numId w:val="2"/>
        </w:numPr>
        <w:spacing w:line="480" w:lineRule="auto"/>
        <w:rPr>
          <w:rFonts w:ascii="Times" w:hAnsi="Times" w:cs="Times"/>
          <w:sz w:val="24"/>
        </w:rPr>
      </w:pPr>
      <w:r w:rsidRPr="000851FC">
        <w:rPr>
          <w:rFonts w:ascii="Times" w:hAnsi="Times" w:cs="Times"/>
          <w:sz w:val="24"/>
        </w:rPr>
        <w:t xml:space="preserve">Ginsburg, Ruth Bader. “Sex and Unequal Protection: Men and Women as Victims.” </w:t>
      </w:r>
      <w:r w:rsidRPr="000851FC">
        <w:rPr>
          <w:rFonts w:ascii="Times" w:hAnsi="Times" w:cs="Times"/>
          <w:i/>
          <w:iCs/>
          <w:sz w:val="24"/>
        </w:rPr>
        <w:t>J. Fam. L.</w:t>
      </w:r>
      <w:r w:rsidRPr="000851FC">
        <w:rPr>
          <w:rFonts w:ascii="Times" w:hAnsi="Times" w:cs="Times"/>
          <w:sz w:val="24"/>
        </w:rPr>
        <w:t xml:space="preserve"> 11 (1971): 347.</w:t>
      </w:r>
    </w:p>
    <w:p w14:paraId="4B42F2D4" w14:textId="77777777" w:rsidR="000851FC" w:rsidRPr="000851FC" w:rsidRDefault="000851FC" w:rsidP="000851FC">
      <w:pPr>
        <w:pStyle w:val="Bibliography"/>
        <w:numPr>
          <w:ilvl w:val="0"/>
          <w:numId w:val="2"/>
        </w:numPr>
        <w:spacing w:line="480" w:lineRule="auto"/>
        <w:rPr>
          <w:rFonts w:ascii="Times" w:hAnsi="Times" w:cs="Times"/>
          <w:sz w:val="24"/>
        </w:rPr>
      </w:pPr>
      <w:r w:rsidRPr="000851FC">
        <w:rPr>
          <w:rFonts w:ascii="Times" w:hAnsi="Times" w:cs="Times"/>
          <w:sz w:val="24"/>
        </w:rPr>
        <w:t xml:space="preserve">Klein, William A. “Tax Deductions for Family Care Expenses.” </w:t>
      </w:r>
      <w:r w:rsidRPr="000851FC">
        <w:rPr>
          <w:rFonts w:ascii="Times" w:hAnsi="Times" w:cs="Times"/>
          <w:i/>
          <w:iCs/>
          <w:sz w:val="24"/>
        </w:rPr>
        <w:t>BC Indus. &amp; Com. L. Rev.</w:t>
      </w:r>
      <w:r w:rsidRPr="000851FC">
        <w:rPr>
          <w:rFonts w:ascii="Times" w:hAnsi="Times" w:cs="Times"/>
          <w:sz w:val="24"/>
        </w:rPr>
        <w:t xml:space="preserve"> 14 (1972): 917.</w:t>
      </w:r>
    </w:p>
    <w:p w14:paraId="626A7DFD" w14:textId="77777777" w:rsidR="000851FC" w:rsidRPr="000851FC" w:rsidRDefault="000851FC" w:rsidP="000851FC">
      <w:pPr>
        <w:pStyle w:val="Bibliography"/>
        <w:numPr>
          <w:ilvl w:val="0"/>
          <w:numId w:val="2"/>
        </w:numPr>
        <w:spacing w:line="480" w:lineRule="auto"/>
        <w:rPr>
          <w:rFonts w:ascii="Times" w:hAnsi="Times" w:cs="Times"/>
          <w:sz w:val="24"/>
        </w:rPr>
      </w:pPr>
      <w:r w:rsidRPr="000851FC">
        <w:rPr>
          <w:rFonts w:ascii="Times" w:hAnsi="Times" w:cs="Times"/>
          <w:sz w:val="24"/>
        </w:rPr>
        <w:t xml:space="preserve">Murray, Melissa. “Inequality Frontiers.” </w:t>
      </w:r>
      <w:r w:rsidRPr="000851FC">
        <w:rPr>
          <w:rFonts w:ascii="Times" w:hAnsi="Times" w:cs="Times"/>
          <w:i/>
          <w:iCs/>
          <w:sz w:val="24"/>
        </w:rPr>
        <w:t>Yale LJF</w:t>
      </w:r>
      <w:r w:rsidRPr="000851FC">
        <w:rPr>
          <w:rFonts w:ascii="Times" w:hAnsi="Times" w:cs="Times"/>
          <w:sz w:val="24"/>
        </w:rPr>
        <w:t xml:space="preserve"> 122 (2012): 235.</w:t>
      </w:r>
    </w:p>
    <w:p w14:paraId="2A703DFC" w14:textId="77777777" w:rsidR="000851FC" w:rsidRPr="000851FC" w:rsidRDefault="000851FC" w:rsidP="000851FC">
      <w:pPr>
        <w:pStyle w:val="Bibliography"/>
        <w:numPr>
          <w:ilvl w:val="0"/>
          <w:numId w:val="2"/>
        </w:numPr>
        <w:spacing w:line="480" w:lineRule="auto"/>
        <w:rPr>
          <w:rFonts w:ascii="Times" w:hAnsi="Times" w:cs="Times"/>
          <w:sz w:val="24"/>
        </w:rPr>
      </w:pPr>
      <w:r w:rsidRPr="000851FC">
        <w:rPr>
          <w:rFonts w:ascii="Times" w:hAnsi="Times" w:cs="Times"/>
          <w:sz w:val="24"/>
        </w:rPr>
        <w:t xml:space="preserve">Norton, Mary Beth, and Ruth M. Alexander. “Major Problems in American Women’s History.” </w:t>
      </w:r>
      <w:r w:rsidRPr="000851FC">
        <w:rPr>
          <w:rFonts w:ascii="Times" w:hAnsi="Times" w:cs="Times"/>
          <w:i/>
          <w:iCs/>
          <w:sz w:val="24"/>
        </w:rPr>
        <w:t>Documents and Essays, Lexington, Mass., DC Heath and Company</w:t>
      </w:r>
      <w:r w:rsidRPr="000851FC">
        <w:rPr>
          <w:rFonts w:ascii="Times" w:hAnsi="Times" w:cs="Times"/>
          <w:sz w:val="24"/>
        </w:rPr>
        <w:t>, 1989.</w:t>
      </w:r>
    </w:p>
    <w:p w14:paraId="227A37F7" w14:textId="2F74927A" w:rsidR="00C35095" w:rsidRPr="00E3372F" w:rsidRDefault="000851FC" w:rsidP="000851FC">
      <w:pPr>
        <w:spacing w:after="0" w:line="480" w:lineRule="auto"/>
        <w:jc w:val="center"/>
        <w:rPr>
          <w:rFonts w:ascii="Times" w:hAnsi="Times" w:cs="Times"/>
          <w:b/>
          <w:sz w:val="24"/>
          <w:szCs w:val="24"/>
        </w:rPr>
      </w:pPr>
      <w:r>
        <w:rPr>
          <w:rFonts w:ascii="Times" w:hAnsi="Times" w:cs="Times"/>
          <w:b/>
          <w:sz w:val="24"/>
          <w:szCs w:val="24"/>
        </w:rPr>
        <w:fldChar w:fldCharType="end"/>
      </w:r>
      <w:bookmarkStart w:id="0" w:name="_GoBack"/>
      <w:bookmarkEnd w:id="0"/>
    </w:p>
    <w:sectPr w:rsidR="00C35095" w:rsidRPr="00E3372F" w:rsidSect="00CF4875">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1F5D6" w16cid:durableId="20E2AC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87909" w14:textId="77777777" w:rsidR="006A1037" w:rsidRDefault="006A1037" w:rsidP="00CF4875">
      <w:pPr>
        <w:spacing w:after="0" w:line="240" w:lineRule="auto"/>
      </w:pPr>
      <w:r>
        <w:separator/>
      </w:r>
    </w:p>
  </w:endnote>
  <w:endnote w:type="continuationSeparator" w:id="0">
    <w:p w14:paraId="6298232D" w14:textId="77777777" w:rsidR="006A1037" w:rsidRDefault="006A1037"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2F26C" w14:textId="77777777" w:rsidR="006A1037" w:rsidRDefault="006A1037" w:rsidP="00CF4875">
      <w:pPr>
        <w:spacing w:after="0" w:line="240" w:lineRule="auto"/>
      </w:pPr>
      <w:r>
        <w:separator/>
      </w:r>
    </w:p>
  </w:footnote>
  <w:footnote w:type="continuationSeparator" w:id="0">
    <w:p w14:paraId="2CCF17EA" w14:textId="77777777" w:rsidR="006A1037" w:rsidRDefault="006A1037" w:rsidP="00CF4875">
      <w:pPr>
        <w:spacing w:after="0" w:line="240" w:lineRule="auto"/>
      </w:pPr>
      <w:r>
        <w:continuationSeparator/>
      </w:r>
    </w:p>
  </w:footnote>
  <w:footnote w:id="1">
    <w:p w14:paraId="19A07567" w14:textId="2E134EF2" w:rsidR="00EE0633" w:rsidRDefault="00EE0633">
      <w:pPr>
        <w:pStyle w:val="FootnoteText"/>
      </w:pPr>
      <w:r>
        <w:rPr>
          <w:rStyle w:val="FootnoteReference"/>
        </w:rPr>
        <w:footnoteRef/>
      </w:r>
      <w:r>
        <w:t xml:space="preserve"> </w:t>
      </w:r>
      <w:r>
        <w:fldChar w:fldCharType="begin"/>
      </w:r>
      <w:r w:rsidR="000851FC">
        <w:instrText xml:space="preserve"> ADDIN ZOTERO_ITEM CSL_CITATION {"citationID":"oa8IMwiH","properties":{"formattedCitation":"Elaine Forman Crane, \\uc0\\u8220{}Abigail Adams, Gender Politics, and\" The History of Emily Montague\": A Postscript,\\uc0\\u8221{} {\\i{}The William and Mary Quarterly} 64, no. 4 (2007): 839\\uc0\\u8211{}44.","plainCitation":"Elaine Forman Crane, “Abigail Adams, Gender Politics, and\" The History of Emily Montague\": A Postscript,” The William and Mary Quarterly 64, no. 4 (2007): 839–44.","noteIndex":1},"citationItems":[{"id":"2pSDrXwg/zKMyUpFG","uris":["http://zotero.org/users/local/5VyEEXyp/items/EQWZVPV6"],"uri":["http://zotero.org/users/local/5VyEEXyp/items/EQWZVPV6"],"itemData":{"id":369,"type":"article-journal","title":"Abigail Adams, Gender Politics, and\" The History of Emily Montague\": A Postscript","container-title":"The William and Mary Quarterly","page":"839-844","volume":"64","issue":"4","author":[{"family":"Crane","given":"Elaine Forman"}],"issued":{"date-parts":[["2007"]]}}}],"schema":"https://github.com/citation-style-language/schema/raw/master/csl-citation.json"} </w:instrText>
      </w:r>
      <w:r>
        <w:fldChar w:fldCharType="separate"/>
      </w:r>
      <w:r w:rsidR="00CC37F1" w:rsidRPr="00CC37F1">
        <w:rPr>
          <w:rFonts w:cs="Calibri"/>
          <w:szCs w:val="24"/>
        </w:rPr>
        <w:t xml:space="preserve">Elaine Forman Crane, “Abigail Adams, Gender Politics, and" The History of Emily Montague": A Postscript,” </w:t>
      </w:r>
      <w:r w:rsidR="00CC37F1" w:rsidRPr="00CC37F1">
        <w:rPr>
          <w:rFonts w:cs="Calibri"/>
          <w:i/>
          <w:iCs/>
          <w:szCs w:val="24"/>
        </w:rPr>
        <w:t>The William and Mary Quarterly</w:t>
      </w:r>
      <w:r w:rsidR="00CC37F1" w:rsidRPr="00CC37F1">
        <w:rPr>
          <w:rFonts w:cs="Calibri"/>
          <w:szCs w:val="24"/>
        </w:rPr>
        <w:t xml:space="preserve"> 64, no. 4 (2007): 839–44.</w:t>
      </w:r>
      <w:r>
        <w:fldChar w:fldCharType="end"/>
      </w:r>
    </w:p>
  </w:footnote>
  <w:footnote w:id="2">
    <w:p w14:paraId="3BC4BC3F" w14:textId="07470FD1" w:rsidR="004633DA" w:rsidRDefault="004633DA">
      <w:pPr>
        <w:pStyle w:val="FootnoteText"/>
      </w:pPr>
      <w:r>
        <w:rPr>
          <w:rStyle w:val="FootnoteReference"/>
        </w:rPr>
        <w:footnoteRef/>
      </w:r>
      <w:r>
        <w:t xml:space="preserve"> </w:t>
      </w:r>
      <w:r>
        <w:fldChar w:fldCharType="begin"/>
      </w:r>
      <w:r w:rsidR="000851FC">
        <w:instrText xml:space="preserve"> ADDIN ZOTERO_ITEM CSL_CITATION {"citationID":"8kIgykFm","properties":{"formattedCitation":"Mary Beth Norton and Ruth M. Alexander, \\uc0\\u8220{}Major Problems in American Women\\uc0\\u8217{}s History,\\uc0\\u8221{} {\\i{}Documents and Essays, Lexington, Mass., DC Heath and Company}, 1989.","plainCitation":"Mary Beth Norton and Ruth M. Alexander, “Major Problems in American Women’s History,” Documents and Essays, Lexington, Mass., DC Heath and Company, 1989.","noteIndex":2},"citationItems":[{"id":"2pSDrXwg/pxOD1nGN","uris":["http://zotero.org/users/local/5VyEEXyp/items/RH24VJQ7"],"uri":["http://zotero.org/users/local/5VyEEXyp/items/RH24VJQ7"],"itemData":{"id":370,"type":"article-journal","title":"Major problems in American women's history","container-title":"Documents and Essays, Lexington, Mass., DC Heath and Company","author":[{"family":"Norton","given":"Mary Beth"},{"family":"Alexander","given":"Ruth M."}],"issued":{"date-parts":[["1989"]]}}}],"schema":"https://github.com/citation-style-language/schema/raw/master/csl-citation.json"} </w:instrText>
      </w:r>
      <w:r>
        <w:fldChar w:fldCharType="separate"/>
      </w:r>
      <w:r w:rsidRPr="004633DA">
        <w:rPr>
          <w:rFonts w:cs="Calibri"/>
          <w:szCs w:val="24"/>
        </w:rPr>
        <w:t xml:space="preserve">Mary Beth Norton and Ruth M. Alexander, “Major Problems in American Women’s History,” </w:t>
      </w:r>
      <w:r w:rsidRPr="004633DA">
        <w:rPr>
          <w:rFonts w:cs="Calibri"/>
          <w:i/>
          <w:iCs/>
          <w:szCs w:val="24"/>
        </w:rPr>
        <w:t>Documents and Essays, Lexington, Mass., DC Heath and Company</w:t>
      </w:r>
      <w:r w:rsidRPr="004633DA">
        <w:rPr>
          <w:rFonts w:cs="Calibri"/>
          <w:szCs w:val="24"/>
        </w:rPr>
        <w:t>, 1989.</w:t>
      </w:r>
      <w:r>
        <w:fldChar w:fldCharType="end"/>
      </w:r>
    </w:p>
  </w:footnote>
  <w:footnote w:id="3">
    <w:p w14:paraId="05768FD6" w14:textId="7B282436" w:rsidR="007F09A5" w:rsidRDefault="007F09A5">
      <w:pPr>
        <w:pStyle w:val="FootnoteText"/>
      </w:pPr>
      <w:r>
        <w:rPr>
          <w:rStyle w:val="FootnoteReference"/>
        </w:rPr>
        <w:footnoteRef/>
      </w:r>
      <w:r>
        <w:t xml:space="preserve"> </w:t>
      </w:r>
      <w:r>
        <w:fldChar w:fldCharType="begin"/>
      </w:r>
      <w:r w:rsidR="000851FC">
        <w:instrText xml:space="preserve"> ADDIN ZOTERO_ITEM CSL_CITATION {"citationID":"IDGH2dNo","properties":{"formattedCitation":"Melissa Murray, \\uc0\\u8220{}Inequality Frontiers,\\uc0\\u8221{} {\\i{}Yale LJF} 122 (2012): 235.","plainCitation":"Melissa Murray, “Inequality Frontiers,” Yale LJF 122 (2012): 235.","noteIndex":3},"citationItems":[{"id":"2pSDrXwg/4o95myd8","uris":["http://zotero.org/users/local/5VyEEXyp/items/TVMFM4VK"],"uri":["http://zotero.org/users/local/5VyEEXyp/items/TVMFM4VK"],"itemData":{"id":371,"type":"article-journal","title":"Inequality Frontiers","container-title":"Yale LJF","page":"235","volume":"122","author":[{"family":"Murray","given":"Melissa"}],"issued":{"date-parts":[["2012"]]}}}],"schema":"https://github.com/citation-style-language/schema/raw/master/csl-citation.json"} </w:instrText>
      </w:r>
      <w:r>
        <w:fldChar w:fldCharType="separate"/>
      </w:r>
      <w:r w:rsidRPr="007F09A5">
        <w:rPr>
          <w:rFonts w:cs="Calibri"/>
          <w:szCs w:val="24"/>
        </w:rPr>
        <w:t xml:space="preserve">Melissa Murray, “Inequality Frontiers,” </w:t>
      </w:r>
      <w:r w:rsidRPr="007F09A5">
        <w:rPr>
          <w:rFonts w:cs="Calibri"/>
          <w:i/>
          <w:iCs/>
          <w:szCs w:val="24"/>
        </w:rPr>
        <w:t>Yale LJF</w:t>
      </w:r>
      <w:r w:rsidRPr="007F09A5">
        <w:rPr>
          <w:rFonts w:cs="Calibri"/>
          <w:szCs w:val="24"/>
        </w:rPr>
        <w:t xml:space="preserve"> 122 (2012): 235.</w:t>
      </w:r>
      <w:r>
        <w:fldChar w:fldCharType="end"/>
      </w:r>
    </w:p>
  </w:footnote>
  <w:footnote w:id="4">
    <w:p w14:paraId="3078BB24" w14:textId="59C77D14" w:rsidR="001E7F5F" w:rsidRDefault="001E7F5F">
      <w:pPr>
        <w:pStyle w:val="FootnoteText"/>
      </w:pPr>
      <w:r>
        <w:rPr>
          <w:rStyle w:val="FootnoteReference"/>
        </w:rPr>
        <w:footnoteRef/>
      </w:r>
      <w:r>
        <w:t xml:space="preserve"> </w:t>
      </w:r>
      <w:r>
        <w:fldChar w:fldCharType="begin"/>
      </w:r>
      <w:r w:rsidR="000851FC">
        <w:instrText xml:space="preserve"> ADDIN ZOTERO_ITEM CSL_CITATION {"citationID":"5hwP7sBU","properties":{"formattedCitation":"William A. Klein, \\uc0\\u8220{}Tax Deductions for Family Care Expenses,\\uc0\\u8221{} {\\i{}BC Indus. &amp; Com. L. Rev.} 14 (1972): 917.","plainCitation":"William A. Klein, “Tax Deductions for Family Care Expenses,” BC Indus. &amp; Com. L. Rev. 14 (1972): 917.","noteIndex":4},"citationItems":[{"id":"2pSDrXwg/uqsHU5GR","uris":["http://zotero.org/users/local/5VyEEXyp/items/MHWAW478"],"uri":["http://zotero.org/users/local/5VyEEXyp/items/MHWAW478"],"itemData":{"id":372,"type":"article-journal","title":"Tax Deductions for Family Care Expenses","container-title":"BC Indus. &amp; Com. L. Rev.","page":"917","volume":"14","author":[{"family":"Klein","given":"William A."}],"issued":{"date-parts":[["1972"]]}}}],"schema":"https://github.com/citation-style-language/schema/raw/master/csl-citation.json"} </w:instrText>
      </w:r>
      <w:r>
        <w:fldChar w:fldCharType="separate"/>
      </w:r>
      <w:r w:rsidR="00D51DAD" w:rsidRPr="00D51DAD">
        <w:rPr>
          <w:rFonts w:cs="Calibri"/>
          <w:szCs w:val="24"/>
        </w:rPr>
        <w:t xml:space="preserve">William A. Klein, “Tax Deductions for Family Care Expenses,” </w:t>
      </w:r>
      <w:r w:rsidR="00D51DAD" w:rsidRPr="00D51DAD">
        <w:rPr>
          <w:rFonts w:cs="Calibri"/>
          <w:i/>
          <w:iCs/>
          <w:szCs w:val="24"/>
        </w:rPr>
        <w:t>BC Indus. &amp; Com. L. Rev.</w:t>
      </w:r>
      <w:r w:rsidR="00D51DAD" w:rsidRPr="00D51DAD">
        <w:rPr>
          <w:rFonts w:cs="Calibri"/>
          <w:szCs w:val="24"/>
        </w:rPr>
        <w:t xml:space="preserve"> 14 (1972): 917.</w:t>
      </w:r>
      <w:r>
        <w:fldChar w:fldCharType="end"/>
      </w:r>
    </w:p>
  </w:footnote>
  <w:footnote w:id="5">
    <w:p w14:paraId="22B028F9" w14:textId="1F7248E1" w:rsidR="005D5015" w:rsidRDefault="005D5015">
      <w:pPr>
        <w:pStyle w:val="FootnoteText"/>
      </w:pPr>
      <w:r>
        <w:rPr>
          <w:rStyle w:val="FootnoteReference"/>
        </w:rPr>
        <w:footnoteRef/>
      </w:r>
      <w:r>
        <w:t xml:space="preserve"> </w:t>
      </w:r>
      <w:r>
        <w:fldChar w:fldCharType="begin"/>
      </w:r>
      <w:r w:rsidR="000851FC">
        <w:instrText xml:space="preserve"> ADDIN ZOTERO_ITEM CSL_CITATION {"citationID":"E1ajNjww","properties":{"formattedCitation":"Ruth Bader Ginsburg, \\uc0\\u8220{}Sex and Unequal Protection: Men and Women as Victims,\\uc0\\u8221{} {\\i{}J. Fam. L.} 11 (1971): 347.","plainCitation":"Ruth Bader Ginsburg, “Sex and Unequal Protection: Men and Women as Victims,” J. Fam. L. 11 (1971): 347.","noteIndex":5},"citationItems":[{"id":"2pSDrXwg/G1g4dhYk","uris":["http://zotero.org/users/local/5VyEEXyp/items/QNP4JTUT"],"uri":["http://zotero.org/users/local/5VyEEXyp/items/QNP4JTUT"],"itemData":{"id":373,"type":"article-journal","title":"Sex and Unequal Protection: Men and Women as Victims","container-title":"J. Fam. L.","page":"347","volume":"11","author":[{"family":"Ginsburg","given":"Ruth Bader"}],"issued":{"date-parts":[["1971"]]}}}],"schema":"https://github.com/citation-style-language/schema/raw/master/csl-citation.json"} </w:instrText>
      </w:r>
      <w:r>
        <w:fldChar w:fldCharType="separate"/>
      </w:r>
      <w:r w:rsidRPr="005D5015">
        <w:rPr>
          <w:rFonts w:cs="Calibri"/>
          <w:szCs w:val="24"/>
        </w:rPr>
        <w:t xml:space="preserve">Ruth Bader Ginsburg, “Sex and Unequal Protection: Men and Women as Victims,” </w:t>
      </w:r>
      <w:r w:rsidRPr="005D5015">
        <w:rPr>
          <w:rFonts w:cs="Calibri"/>
          <w:i/>
          <w:iCs/>
          <w:szCs w:val="24"/>
        </w:rPr>
        <w:t>J. Fam. L.</w:t>
      </w:r>
      <w:r w:rsidRPr="005D5015">
        <w:rPr>
          <w:rFonts w:cs="Calibri"/>
          <w:szCs w:val="24"/>
        </w:rPr>
        <w:t xml:space="preserve"> 11 (1971): 347.</w:t>
      </w:r>
      <w:r>
        <w:fldChar w:fldCharType="end"/>
      </w:r>
    </w:p>
  </w:footnote>
  <w:footnote w:id="6">
    <w:p w14:paraId="5B20AA94" w14:textId="6E765377" w:rsidR="00C15CD6" w:rsidRDefault="00C15CD6">
      <w:pPr>
        <w:pStyle w:val="FootnoteText"/>
      </w:pPr>
      <w:r>
        <w:rPr>
          <w:rStyle w:val="FootnoteReference"/>
        </w:rPr>
        <w:footnoteRef/>
      </w:r>
      <w:r>
        <w:t xml:space="preserve"> </w:t>
      </w:r>
      <w:r>
        <w:fldChar w:fldCharType="begin"/>
      </w:r>
      <w:r w:rsidR="000851FC">
        <w:instrText xml:space="preserve"> ADDIN ZOTERO_ITEM CSL_CITATION {"citationID":"AQDORcYt","properties":{"formattedCitation":"United States Court of Appeals and Tenth Circuit, \\uc0\\u8220{}Moritz v. Commissioner, 55 T.C. 113\\uc0\\u8221{} F2d, no. 469 (November 22, 1972): 466.","plainCitation":"United States Court of Appeals and Tenth Circuit, “Moritz v. Commissioner, 55 T.C. 113” F2d, no. 469 (November 22, 1972): 466.","noteIndex":6},"citationItems":[{"id":"2pSDrXwg/it3t5Jrd","uris":["http://zotero.org/users/local/5VyEEXyp/items/LPB5V7X3"],"uri":["http://zotero.org/users/local/5VyEEXyp/items/LPB5V7X3"],"itemData":{"id":374,"type":"article-journal","title":"Moritz v. Commissioner, 55 T.C. 113","page":"466","volume":"F2d","issue":"469","source":"openjurist.org","language":"en","author":[{"family":"Appeals","given":"United States Court","dropping-particle":"of"},{"family":"Circuit","given":"Tenth"}],"issued":{"date-parts":[["1972",11,22]]}}}],"schema":"https://github.com/citation-style-language/schema/raw/master/csl-citation.json"} </w:instrText>
      </w:r>
      <w:r>
        <w:fldChar w:fldCharType="separate"/>
      </w:r>
      <w:r w:rsidRPr="00C15CD6">
        <w:rPr>
          <w:rFonts w:cs="Calibri"/>
          <w:szCs w:val="24"/>
        </w:rPr>
        <w:t>United States Court of Appeals and Tenth Circuit, “Moritz v. Commissioner, 55 T.C. 113” F2d, no. 469 (November 22, 1972): 466.</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6833" w14:textId="77777777" w:rsidR="00CF4875" w:rsidRPr="00CF4875" w:rsidRDefault="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0851FC">
      <w:rPr>
        <w:rFonts w:ascii="Times" w:hAnsi="Times" w:cs="Times"/>
        <w:noProof/>
        <w:sz w:val="24"/>
        <w:szCs w:val="24"/>
      </w:rPr>
      <w:t>5</w:t>
    </w:r>
    <w:r w:rsidRPr="00CF4875">
      <w:rPr>
        <w:rFonts w:ascii="Times" w:hAnsi="Times" w:cs="Times"/>
        <w:noProof/>
        <w:sz w:val="24"/>
        <w:szCs w:val="24"/>
      </w:rPr>
      <w:fldChar w:fldCharType="end"/>
    </w:r>
  </w:p>
  <w:p w14:paraId="12815E0C"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B2D22"/>
    <w:multiLevelType w:val="hybridMultilevel"/>
    <w:tmpl w:val="74CE8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17170"/>
    <w:multiLevelType w:val="hybridMultilevel"/>
    <w:tmpl w:val="676A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2NbCwMLIwMjEzNjFR0lEKTi0uzszPAykwqQUAk6b07ywAAAA="/>
  </w:docVars>
  <w:rsids>
    <w:rsidRoot w:val="00CF4875"/>
    <w:rsid w:val="000410F5"/>
    <w:rsid w:val="0008242C"/>
    <w:rsid w:val="000851FC"/>
    <w:rsid w:val="00092B5F"/>
    <w:rsid w:val="00141F79"/>
    <w:rsid w:val="001A7D25"/>
    <w:rsid w:val="001E7F5F"/>
    <w:rsid w:val="001F75AC"/>
    <w:rsid w:val="00216074"/>
    <w:rsid w:val="00222921"/>
    <w:rsid w:val="002264F2"/>
    <w:rsid w:val="00240E10"/>
    <w:rsid w:val="00293CBD"/>
    <w:rsid w:val="002A3331"/>
    <w:rsid w:val="002F5058"/>
    <w:rsid w:val="00312D69"/>
    <w:rsid w:val="0032402F"/>
    <w:rsid w:val="00370799"/>
    <w:rsid w:val="00372754"/>
    <w:rsid w:val="00397B75"/>
    <w:rsid w:val="003B380B"/>
    <w:rsid w:val="003C50FF"/>
    <w:rsid w:val="00434C07"/>
    <w:rsid w:val="0045602D"/>
    <w:rsid w:val="004633DA"/>
    <w:rsid w:val="004C3DFB"/>
    <w:rsid w:val="00584D20"/>
    <w:rsid w:val="005C283F"/>
    <w:rsid w:val="005D4CC9"/>
    <w:rsid w:val="005D5015"/>
    <w:rsid w:val="0060791B"/>
    <w:rsid w:val="00661129"/>
    <w:rsid w:val="006A1037"/>
    <w:rsid w:val="00712322"/>
    <w:rsid w:val="00731226"/>
    <w:rsid w:val="00797F1D"/>
    <w:rsid w:val="007C4757"/>
    <w:rsid w:val="007C58F4"/>
    <w:rsid w:val="007F09A5"/>
    <w:rsid w:val="007F3987"/>
    <w:rsid w:val="00814C53"/>
    <w:rsid w:val="00856162"/>
    <w:rsid w:val="00897BB1"/>
    <w:rsid w:val="008A124E"/>
    <w:rsid w:val="009C6D6C"/>
    <w:rsid w:val="009E20DB"/>
    <w:rsid w:val="00A41687"/>
    <w:rsid w:val="00B03284"/>
    <w:rsid w:val="00B10097"/>
    <w:rsid w:val="00B10F5A"/>
    <w:rsid w:val="00B37A56"/>
    <w:rsid w:val="00BA3BA7"/>
    <w:rsid w:val="00BA608C"/>
    <w:rsid w:val="00C15CD6"/>
    <w:rsid w:val="00C27630"/>
    <w:rsid w:val="00C35095"/>
    <w:rsid w:val="00C65CC3"/>
    <w:rsid w:val="00CC37F1"/>
    <w:rsid w:val="00CE1CDE"/>
    <w:rsid w:val="00CF1BE4"/>
    <w:rsid w:val="00CF4875"/>
    <w:rsid w:val="00D37822"/>
    <w:rsid w:val="00D51DAD"/>
    <w:rsid w:val="00D60A07"/>
    <w:rsid w:val="00DD1114"/>
    <w:rsid w:val="00E2619E"/>
    <w:rsid w:val="00E3372F"/>
    <w:rsid w:val="00E4174C"/>
    <w:rsid w:val="00E56B03"/>
    <w:rsid w:val="00EE0633"/>
    <w:rsid w:val="00EF33E8"/>
    <w:rsid w:val="00F12874"/>
    <w:rsid w:val="00F139E2"/>
    <w:rsid w:val="00F162C6"/>
    <w:rsid w:val="00F87B6B"/>
    <w:rsid w:val="00FA3A75"/>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D233"/>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Bibliography">
    <w:name w:val="Bibliography"/>
    <w:basedOn w:val="Normal"/>
    <w:next w:val="Normal"/>
    <w:uiPriority w:val="37"/>
    <w:unhideWhenUsed/>
    <w:rsid w:val="00E3372F"/>
    <w:pPr>
      <w:spacing w:after="0" w:line="240" w:lineRule="auto"/>
      <w:ind w:left="720" w:hanging="720"/>
    </w:pPr>
  </w:style>
  <w:style w:type="character" w:styleId="CommentReference">
    <w:name w:val="annotation reference"/>
    <w:basedOn w:val="DefaultParagraphFont"/>
    <w:uiPriority w:val="99"/>
    <w:semiHidden/>
    <w:unhideWhenUsed/>
    <w:rsid w:val="005D4CC9"/>
    <w:rPr>
      <w:sz w:val="16"/>
      <w:szCs w:val="16"/>
    </w:rPr>
  </w:style>
  <w:style w:type="paragraph" w:styleId="CommentText">
    <w:name w:val="annotation text"/>
    <w:basedOn w:val="Normal"/>
    <w:link w:val="CommentTextChar"/>
    <w:uiPriority w:val="99"/>
    <w:semiHidden/>
    <w:unhideWhenUsed/>
    <w:rsid w:val="005D4CC9"/>
    <w:pPr>
      <w:spacing w:line="240" w:lineRule="auto"/>
    </w:pPr>
    <w:rPr>
      <w:sz w:val="20"/>
      <w:szCs w:val="20"/>
    </w:rPr>
  </w:style>
  <w:style w:type="character" w:customStyle="1" w:styleId="CommentTextChar">
    <w:name w:val="Comment Text Char"/>
    <w:basedOn w:val="DefaultParagraphFont"/>
    <w:link w:val="CommentText"/>
    <w:uiPriority w:val="99"/>
    <w:semiHidden/>
    <w:rsid w:val="005D4CC9"/>
  </w:style>
  <w:style w:type="paragraph" w:styleId="CommentSubject">
    <w:name w:val="annotation subject"/>
    <w:basedOn w:val="CommentText"/>
    <w:next w:val="CommentText"/>
    <w:link w:val="CommentSubjectChar"/>
    <w:uiPriority w:val="99"/>
    <w:semiHidden/>
    <w:unhideWhenUsed/>
    <w:rsid w:val="005D4CC9"/>
    <w:rPr>
      <w:b/>
      <w:bCs/>
    </w:rPr>
  </w:style>
  <w:style w:type="character" w:customStyle="1" w:styleId="CommentSubjectChar">
    <w:name w:val="Comment Subject Char"/>
    <w:basedOn w:val="CommentTextChar"/>
    <w:link w:val="CommentSubject"/>
    <w:uiPriority w:val="99"/>
    <w:semiHidden/>
    <w:rsid w:val="005D4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CEB2B4D-8AEF-4EEC-8CBF-1A826DC2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5910</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Writer</cp:lastModifiedBy>
  <cp:revision>3</cp:revision>
  <dcterms:created xsi:type="dcterms:W3CDTF">2019-07-24T05:10:00Z</dcterms:created>
  <dcterms:modified xsi:type="dcterms:W3CDTF">2019-07-24T05:42:00Z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id="2pSDrXwg"/&gt;&lt;style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