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850E" w14:textId="77777777" w:rsidR="000F5D2F" w:rsidRPr="00A97D17" w:rsidRDefault="000F5D2F" w:rsidP="000F5D2F">
      <w:pPr>
        <w:tabs>
          <w:tab w:val="left" w:pos="90"/>
        </w:tabs>
        <w:spacing w:line="480" w:lineRule="auto"/>
        <w:ind w:firstLine="720"/>
      </w:pPr>
    </w:p>
    <w:p w14:paraId="0A8022CF" w14:textId="77777777" w:rsidR="000F5D2F" w:rsidRPr="00A97D17" w:rsidRDefault="000F5D2F" w:rsidP="000F5D2F">
      <w:pPr>
        <w:tabs>
          <w:tab w:val="left" w:pos="90"/>
        </w:tabs>
        <w:spacing w:line="480" w:lineRule="auto"/>
        <w:ind w:firstLine="720"/>
      </w:pPr>
    </w:p>
    <w:p w14:paraId="70C425EE" w14:textId="77777777" w:rsidR="000F5D2F" w:rsidRPr="00A97D17" w:rsidRDefault="000F5D2F" w:rsidP="000F5D2F">
      <w:pPr>
        <w:tabs>
          <w:tab w:val="left" w:pos="90"/>
        </w:tabs>
        <w:spacing w:line="480" w:lineRule="auto"/>
        <w:ind w:firstLine="720"/>
      </w:pPr>
    </w:p>
    <w:p w14:paraId="2FF00749" w14:textId="77777777" w:rsidR="000F5D2F" w:rsidRPr="00A97D17" w:rsidRDefault="000F5D2F" w:rsidP="000F5D2F">
      <w:pPr>
        <w:tabs>
          <w:tab w:val="left" w:pos="90"/>
        </w:tabs>
        <w:spacing w:line="480" w:lineRule="auto"/>
        <w:ind w:firstLine="720"/>
      </w:pPr>
    </w:p>
    <w:p w14:paraId="26543DAF" w14:textId="77777777" w:rsidR="000F5D2F" w:rsidRPr="00A97D17" w:rsidRDefault="000F5D2F" w:rsidP="000F5D2F">
      <w:pPr>
        <w:tabs>
          <w:tab w:val="left" w:pos="90"/>
        </w:tabs>
        <w:spacing w:line="480" w:lineRule="auto"/>
        <w:ind w:firstLine="720"/>
      </w:pPr>
    </w:p>
    <w:p w14:paraId="08CF24F7" w14:textId="77777777" w:rsidR="000F5D2F" w:rsidRPr="00A97D17" w:rsidRDefault="000F5D2F" w:rsidP="000F5D2F">
      <w:pPr>
        <w:tabs>
          <w:tab w:val="left" w:pos="90"/>
        </w:tabs>
        <w:spacing w:line="480" w:lineRule="auto"/>
        <w:ind w:firstLine="720"/>
      </w:pPr>
    </w:p>
    <w:p w14:paraId="0DC9C8A9" w14:textId="77777777" w:rsidR="000F5D2F" w:rsidRPr="00A97D17" w:rsidRDefault="000F5D2F" w:rsidP="000F5D2F">
      <w:pPr>
        <w:tabs>
          <w:tab w:val="left" w:pos="90"/>
        </w:tabs>
        <w:spacing w:line="480" w:lineRule="auto"/>
        <w:ind w:firstLine="720"/>
      </w:pPr>
    </w:p>
    <w:p w14:paraId="1123C653" w14:textId="77777777" w:rsidR="000F5D2F" w:rsidRPr="00A97D17" w:rsidRDefault="000F5D2F" w:rsidP="000F5D2F">
      <w:pPr>
        <w:tabs>
          <w:tab w:val="left" w:pos="90"/>
        </w:tabs>
        <w:spacing w:line="480" w:lineRule="auto"/>
        <w:ind w:firstLine="720"/>
      </w:pPr>
    </w:p>
    <w:p w14:paraId="247C2A35" w14:textId="77777777" w:rsidR="000F5D2F" w:rsidRDefault="002C0AE3" w:rsidP="000F5D2F">
      <w:pPr>
        <w:spacing w:line="480" w:lineRule="auto"/>
        <w:jc w:val="center"/>
      </w:pPr>
      <w:r>
        <w:t xml:space="preserve">Magistrate Court </w:t>
      </w:r>
    </w:p>
    <w:p w14:paraId="4A6BF4BE" w14:textId="77777777" w:rsidR="000F5D2F" w:rsidRPr="00A97D17" w:rsidRDefault="002C0AE3" w:rsidP="000F5D2F">
      <w:pPr>
        <w:spacing w:line="480" w:lineRule="auto"/>
        <w:jc w:val="center"/>
      </w:pPr>
      <w:r>
        <w:t xml:space="preserve">Peter </w:t>
      </w:r>
    </w:p>
    <w:p w14:paraId="2A98ED6C" w14:textId="77777777" w:rsidR="000F5D2F" w:rsidRPr="00A97D17" w:rsidRDefault="000F5D2F" w:rsidP="000F5D2F">
      <w:pPr>
        <w:spacing w:line="480" w:lineRule="auto"/>
        <w:jc w:val="center"/>
      </w:pPr>
      <w:r w:rsidRPr="002C0AE3">
        <w:rPr>
          <w:highlight w:val="yellow"/>
        </w:rPr>
        <w:t>[</w:t>
      </w:r>
      <w:r w:rsidR="002C0AE3" w:rsidRPr="002C0AE3">
        <w:rPr>
          <w:highlight w:val="yellow"/>
        </w:rPr>
        <w:t xml:space="preserve">Enter </w:t>
      </w:r>
      <w:r w:rsidRPr="002C0AE3">
        <w:rPr>
          <w:highlight w:val="yellow"/>
        </w:rPr>
        <w:t>Name of the institution]</w:t>
      </w:r>
    </w:p>
    <w:p w14:paraId="47D91E40" w14:textId="77777777" w:rsidR="000F5D2F" w:rsidRPr="00FC3ECF" w:rsidRDefault="000F5D2F" w:rsidP="003E7AB6">
      <w:pPr>
        <w:pStyle w:val="Title"/>
        <w:spacing w:line="480" w:lineRule="auto"/>
        <w:jc w:val="center"/>
        <w:rPr>
          <w:rFonts w:ascii="Times New Roman" w:hAnsi="Times New Roman" w:cs="Times New Roman"/>
          <w:b/>
          <w:sz w:val="24"/>
          <w:szCs w:val="24"/>
        </w:rPr>
      </w:pPr>
      <w:r w:rsidRPr="00A067C9">
        <w:rPr>
          <w:rFonts w:ascii="Courier New" w:hAnsi="Courier New" w:cs="Courier New"/>
          <w:b/>
        </w:rPr>
        <w:br w:type="page"/>
      </w:r>
      <w:r w:rsidR="002C0AE3" w:rsidRPr="002C0AE3">
        <w:rPr>
          <w:rFonts w:ascii="Times New Roman" w:hAnsi="Times New Roman" w:cs="Times New Roman"/>
          <w:b/>
          <w:sz w:val="24"/>
          <w:szCs w:val="24"/>
        </w:rPr>
        <w:lastRenderedPageBreak/>
        <w:t>Magistrate Court</w:t>
      </w:r>
    </w:p>
    <w:p w14:paraId="6F6A6B2B" w14:textId="77777777" w:rsidR="00FC3ECF" w:rsidRPr="003E7AB6" w:rsidRDefault="00FC3ECF" w:rsidP="003E7AB6">
      <w:pPr>
        <w:pStyle w:val="Heading1"/>
        <w:spacing w:before="0" w:line="480" w:lineRule="auto"/>
        <w:rPr>
          <w:rFonts w:ascii="Times New Roman" w:hAnsi="Times New Roman" w:cs="Times New Roman"/>
          <w:b/>
          <w:i/>
          <w:color w:val="auto"/>
          <w:sz w:val="24"/>
          <w:szCs w:val="24"/>
        </w:rPr>
      </w:pPr>
      <w:r w:rsidRPr="00FC3ECF">
        <w:rPr>
          <w:rFonts w:ascii="Times New Roman" w:hAnsi="Times New Roman" w:cs="Times New Roman"/>
          <w:b/>
          <w:i/>
          <w:color w:val="auto"/>
          <w:sz w:val="24"/>
          <w:szCs w:val="24"/>
        </w:rPr>
        <w:t>Magistrate Court</w:t>
      </w:r>
      <w:r w:rsidR="00591684">
        <w:rPr>
          <w:rFonts w:ascii="Times New Roman" w:hAnsi="Times New Roman" w:cs="Times New Roman"/>
          <w:b/>
          <w:i/>
          <w:color w:val="auto"/>
          <w:sz w:val="24"/>
          <w:szCs w:val="24"/>
        </w:rPr>
        <w:t xml:space="preserve"> in the UK Law system</w:t>
      </w:r>
    </w:p>
    <w:p w14:paraId="609E3C5E" w14:textId="4F204AC7" w:rsidR="00FC3ECF" w:rsidRPr="00FC3ECF" w:rsidRDefault="00FC3ECF" w:rsidP="003E7AB6">
      <w:pPr>
        <w:spacing w:line="480" w:lineRule="auto"/>
        <w:ind w:firstLine="720"/>
      </w:pPr>
      <w:r>
        <w:t>In the UK law system, a Magistrate Court is a lower</w:t>
      </w:r>
      <w:r w:rsidR="00BF0AF2">
        <w:t>-</w:t>
      </w:r>
      <w:r>
        <w:t>ranked court, which hold</w:t>
      </w:r>
      <w:r w:rsidR="00BF0AF2">
        <w:t>s</w:t>
      </w:r>
      <w:r>
        <w:t xml:space="preserve"> cases pertaining to the summary offen</w:t>
      </w:r>
      <w:r w:rsidR="00BF0AF2">
        <w:t>s</w:t>
      </w:r>
      <w:r>
        <w:t>es, and some initial hearings for the cases of more critical nature. In some jurisdictions in England, the</w:t>
      </w:r>
      <w:r w:rsidR="00BF0AF2">
        <w:t>ir</w:t>
      </w:r>
      <w:r>
        <w:t xml:space="preserve"> role expands to include cases relat</w:t>
      </w:r>
      <w:r w:rsidR="00B67A86">
        <w:t>ing</w:t>
      </w:r>
      <w:r>
        <w:t xml:space="preserve"> to family proceedings as well. According to the statistics shared in 2015, the number of</w:t>
      </w:r>
      <w:r w:rsidR="00B67A86">
        <w:t xml:space="preserve"> the</w:t>
      </w:r>
      <w:r>
        <w:t xml:space="preserve"> magistrate’s courts were around 330</w:t>
      </w:r>
      <w:r w:rsidR="00591684">
        <w:rPr>
          <w:rStyle w:val="FootnoteReference"/>
        </w:rPr>
        <w:footnoteReference w:id="1"/>
      </w:r>
      <w:r>
        <w:t xml:space="preserve">, working in different jurisdictions with different </w:t>
      </w:r>
      <w:r w:rsidR="00E779AB">
        <w:t>nature of cases in hand. The Magistrate Court Act of 1980 in England and Wales sets out the rules governing the jurisdictions of these courts. It is interesting to n</w:t>
      </w:r>
      <w:r w:rsidR="00920776">
        <w:t xml:space="preserve">ote that each case which ends </w:t>
      </w:r>
      <w:r w:rsidR="000757D3">
        <w:t>a</w:t>
      </w:r>
      <w:r w:rsidR="00E779AB">
        <w:t xml:space="preserve"> criminal court, kicks off in the Magistrate court. The roles and functions of the Magistrate Court in the UK Law system are limited to sentencing powers (community sentences)</w:t>
      </w:r>
      <w:r w:rsidR="00591684">
        <w:rPr>
          <w:rStyle w:val="FootnoteReference"/>
        </w:rPr>
        <w:footnoteReference w:id="2"/>
      </w:r>
      <w:r w:rsidR="00E779AB">
        <w:t xml:space="preserve">, </w:t>
      </w:r>
      <w:r w:rsidR="00621D57">
        <w:t xml:space="preserve">which are </w:t>
      </w:r>
      <w:r w:rsidR="00E779AB">
        <w:t>relat</w:t>
      </w:r>
      <w:r w:rsidR="00B67A86">
        <w:t>ed</w:t>
      </w:r>
      <w:r w:rsidR="00E779AB">
        <w:t xml:space="preserve"> to short custodial and deciding about the fines of smaller nature. </w:t>
      </w:r>
      <w:r w:rsidR="000622B0">
        <w:t xml:space="preserve">Crimes which the society </w:t>
      </w:r>
      <w:r w:rsidR="00621D57">
        <w:t>generally</w:t>
      </w:r>
      <w:r w:rsidR="000622B0">
        <w:t xml:space="preserve"> refers to as serious or indictable crimes, like murder or rape are also presented in front of the </w:t>
      </w:r>
      <w:r w:rsidR="00B67A86">
        <w:t>m</w:t>
      </w:r>
      <w:r w:rsidR="000622B0">
        <w:t>agistrates</w:t>
      </w:r>
      <w:r w:rsidR="00A62771">
        <w:t xml:space="preserve">, but </w:t>
      </w:r>
      <w:r w:rsidR="00371D81">
        <w:t>such</w:t>
      </w:r>
      <w:r w:rsidR="00A62771">
        <w:t xml:space="preserve"> cases end up in the </w:t>
      </w:r>
      <w:r w:rsidR="00371D81">
        <w:t>Cro</w:t>
      </w:r>
      <w:bookmarkStart w:id="0" w:name="_GoBack"/>
      <w:bookmarkEnd w:id="0"/>
      <w:r w:rsidR="00371D81">
        <w:t>wn Courts</w:t>
      </w:r>
      <w:r w:rsidR="00591684">
        <w:rPr>
          <w:rStyle w:val="FootnoteReference"/>
        </w:rPr>
        <w:footnoteReference w:id="3"/>
      </w:r>
      <w:r w:rsidR="00371D81">
        <w:t xml:space="preserve">. </w:t>
      </w:r>
    </w:p>
    <w:p w14:paraId="317EC3C8" w14:textId="77777777" w:rsidR="00346AB5" w:rsidRDefault="00FC3ECF" w:rsidP="003E7AB6">
      <w:pPr>
        <w:pStyle w:val="Heading1"/>
        <w:spacing w:before="0" w:line="480" w:lineRule="auto"/>
        <w:rPr>
          <w:rFonts w:ascii="Times New Roman" w:hAnsi="Times New Roman" w:cs="Times New Roman"/>
          <w:b/>
          <w:i/>
          <w:color w:val="auto"/>
          <w:sz w:val="24"/>
          <w:szCs w:val="24"/>
        </w:rPr>
      </w:pPr>
      <w:r w:rsidRPr="00FC3ECF">
        <w:rPr>
          <w:rFonts w:ascii="Times New Roman" w:hAnsi="Times New Roman" w:cs="Times New Roman"/>
          <w:b/>
          <w:i/>
          <w:color w:val="auto"/>
          <w:sz w:val="24"/>
          <w:szCs w:val="24"/>
        </w:rPr>
        <w:t>Magistrate Court among the Court hierarchy</w:t>
      </w:r>
    </w:p>
    <w:p w14:paraId="67299D21" w14:textId="21B4860E" w:rsidR="003E7AB6" w:rsidRDefault="00A10CFF" w:rsidP="003E7AB6">
      <w:pPr>
        <w:spacing w:line="480" w:lineRule="auto"/>
      </w:pPr>
      <w:r>
        <w:tab/>
      </w:r>
      <w:r w:rsidRPr="001D1357">
        <w:t xml:space="preserve">Among the court hierarchy, the Magistrate court comes in the lowest strata. Both in England </w:t>
      </w:r>
      <w:r w:rsidR="001D1357">
        <w:t xml:space="preserve">and </w:t>
      </w:r>
      <w:r w:rsidRPr="001D1357">
        <w:t>Wales, the legal jurisdiction do</w:t>
      </w:r>
      <w:r w:rsidR="00BF0AF2">
        <w:t>es</w:t>
      </w:r>
      <w:r w:rsidRPr="001D1357">
        <w:t xml:space="preserve"> not extend beyond deciding matters pertaining to communal importance. However, in almost 95 percent of the ca</w:t>
      </w:r>
      <w:r w:rsidR="00773CB2" w:rsidRPr="001D1357">
        <w:t xml:space="preserve">ses, the Magistrate </w:t>
      </w:r>
      <w:r w:rsidR="00B67A86">
        <w:t>C</w:t>
      </w:r>
      <w:r w:rsidR="00773CB2" w:rsidRPr="001D1357">
        <w:t>ourt end up in deciding about the verdict</w:t>
      </w:r>
      <w:r w:rsidR="00CA2F1E" w:rsidRPr="001D1357">
        <w:t xml:space="preserve"> </w:t>
      </w:r>
      <w:r w:rsidR="00B67A86">
        <w:t>while just</w:t>
      </w:r>
      <w:r w:rsidR="00CA2F1E" w:rsidRPr="001D1357">
        <w:t xml:space="preserve"> a few of them </w:t>
      </w:r>
      <w:r w:rsidR="001D1357">
        <w:t>go</w:t>
      </w:r>
      <w:r w:rsidR="00CA2F1E" w:rsidRPr="001D1357">
        <w:t xml:space="preserve"> toward </w:t>
      </w:r>
      <w:r w:rsidR="00916E88" w:rsidRPr="001D1357">
        <w:lastRenderedPageBreak/>
        <w:t xml:space="preserve">the Crown </w:t>
      </w:r>
      <w:r w:rsidR="00B67A86">
        <w:t>C</w:t>
      </w:r>
      <w:r w:rsidR="00916E88" w:rsidRPr="001D1357">
        <w:t>ourts</w:t>
      </w:r>
      <w:r w:rsidR="00591684">
        <w:rPr>
          <w:rStyle w:val="FootnoteReference"/>
        </w:rPr>
        <w:footnoteReference w:id="4"/>
      </w:r>
      <w:r w:rsidR="00916E88" w:rsidRPr="001D1357">
        <w:t>. Due to the nature of the criminal courts</w:t>
      </w:r>
      <w:r w:rsidR="001D1357" w:rsidRPr="001D1357">
        <w:t>, the</w:t>
      </w:r>
      <w:r w:rsidR="00BF0AF2">
        <w:t>ir</w:t>
      </w:r>
      <w:r w:rsidR="001D1357" w:rsidRPr="001D1357">
        <w:t xml:space="preserve"> sentencing powers are limited, which</w:t>
      </w:r>
      <w:r w:rsidR="00B67A86">
        <w:t xml:space="preserve"> can</w:t>
      </w:r>
      <w:r w:rsidR="001D1357" w:rsidRPr="001D1357">
        <w:t xml:space="preserve"> normally </w:t>
      </w:r>
      <w:r w:rsidR="00B67A86">
        <w:t>go</w:t>
      </w:r>
      <w:r w:rsidR="001D1357" w:rsidRPr="001D1357">
        <w:t xml:space="preserve"> up to 12 months in case of custodial cases, pertaining to two or more cases. Other than the </w:t>
      </w:r>
      <w:r w:rsidR="00B67A86">
        <w:t>M</w:t>
      </w:r>
      <w:r w:rsidR="001D1357" w:rsidRPr="001D1357">
        <w:t xml:space="preserve">agistrate </w:t>
      </w:r>
      <w:r w:rsidR="00B67A86">
        <w:t>C</w:t>
      </w:r>
      <w:r w:rsidR="001D1357" w:rsidRPr="001D1357">
        <w:t>ourt, there are many different kinds of courts</w:t>
      </w:r>
      <w:r w:rsidR="00591684">
        <w:rPr>
          <w:rStyle w:val="FootnoteReference"/>
        </w:rPr>
        <w:footnoteReference w:id="5"/>
      </w:r>
      <w:r w:rsidR="001D1357" w:rsidRPr="001D1357">
        <w:t>. In general, civil courts are for disputes where an individual (including corporations) has been harmed in a way that doesn’t constitute a crime. Those would include everything from cutting down a neighbor’s tree to manufacturing defective products. Criminal courts determine the guilt or innocence of a person charged with a crime. Other courts deal with various property rights or disputes about wills and estates (probate), maritime disputes, etc. Courts of equity involve disputes not asking for money damages</w:t>
      </w:r>
      <w:r w:rsidR="00B67A86">
        <w:t>,</w:t>
      </w:r>
      <w:r w:rsidR="001D1357" w:rsidRPr="001D1357">
        <w:t xml:space="preserve"> but for </w:t>
      </w:r>
      <w:r w:rsidR="00BF0AF2">
        <w:t xml:space="preserve">the </w:t>
      </w:r>
      <w:r w:rsidR="001D1357" w:rsidRPr="001D1357">
        <w:t>performance of some action such as writs, injunctions, or specific performance of a contract</w:t>
      </w:r>
      <w:r w:rsidR="00591684">
        <w:rPr>
          <w:rStyle w:val="FootnoteReference"/>
        </w:rPr>
        <w:footnoteReference w:id="6"/>
      </w:r>
      <w:r w:rsidR="001D1357" w:rsidRPr="001D1357">
        <w:t>.</w:t>
      </w:r>
      <w:r w:rsidR="001D1357">
        <w:t xml:space="preserve"> It suggest</w:t>
      </w:r>
      <w:r w:rsidR="00BF0AF2">
        <w:t>s</w:t>
      </w:r>
      <w:r w:rsidR="001D1357">
        <w:t xml:space="preserve"> that the </w:t>
      </w:r>
      <w:r w:rsidR="00B67A86">
        <w:t>M</w:t>
      </w:r>
      <w:r w:rsidR="001D1357">
        <w:t>agistrate</w:t>
      </w:r>
      <w:r w:rsidR="003E7AB6">
        <w:t xml:space="preserve"> </w:t>
      </w:r>
      <w:r w:rsidR="00B67A86">
        <w:t>C</w:t>
      </w:r>
      <w:r w:rsidR="003E7AB6">
        <w:t xml:space="preserve">ourt’s decision could be challenged in any superior court. </w:t>
      </w:r>
      <w:r w:rsidR="001D1357">
        <w:t xml:space="preserve"> </w:t>
      </w:r>
    </w:p>
    <w:p w14:paraId="427DF426" w14:textId="77777777" w:rsidR="001D1357" w:rsidRPr="003E7AB6" w:rsidRDefault="00FC3ECF" w:rsidP="003E7AB6">
      <w:pPr>
        <w:spacing w:line="480" w:lineRule="auto"/>
      </w:pPr>
      <w:r w:rsidRPr="00FC3ECF">
        <w:rPr>
          <w:b/>
          <w:i/>
        </w:rPr>
        <w:t>Role of the Magistrate Court</w:t>
      </w:r>
      <w:r w:rsidR="003E7AB6">
        <w:rPr>
          <w:b/>
          <w:i/>
        </w:rPr>
        <w:t xml:space="preserve">  </w:t>
      </w:r>
    </w:p>
    <w:p w14:paraId="750C24A0" w14:textId="087D0719" w:rsidR="00FC3ECF" w:rsidRPr="003E7AB6" w:rsidRDefault="00B67A86" w:rsidP="003E7AB6">
      <w:pPr>
        <w:spacing w:line="480" w:lineRule="auto"/>
        <w:ind w:firstLine="720"/>
      </w:pPr>
      <w:r>
        <w:t xml:space="preserve">The </w:t>
      </w:r>
      <w:r w:rsidR="003E7AB6">
        <w:t xml:space="preserve">Magistrate </w:t>
      </w:r>
      <w:r>
        <w:t>C</w:t>
      </w:r>
      <w:r w:rsidR="003E7AB6">
        <w:t xml:space="preserve">ourt </w:t>
      </w:r>
      <w:r>
        <w:t>is</w:t>
      </w:r>
      <w:r w:rsidR="003E7AB6">
        <w:t xml:space="preserve"> </w:t>
      </w:r>
      <w:r w:rsidR="001D1357" w:rsidRPr="003E7AB6">
        <w:t xml:space="preserve">often </w:t>
      </w:r>
      <w:r>
        <w:t>connected</w:t>
      </w:r>
      <w:r w:rsidR="001D1357" w:rsidRPr="003E7AB6">
        <w:t xml:space="preserve"> to police stations and have access </w:t>
      </w:r>
      <w:r w:rsidR="003E7AB6">
        <w:t>between police cells and court</w:t>
      </w:r>
      <w:r>
        <w:t>s</w:t>
      </w:r>
      <w:r w:rsidR="003E7AB6">
        <w:t>, however</w:t>
      </w:r>
      <w:r w:rsidR="00BF0AF2">
        <w:t>,</w:t>
      </w:r>
      <w:r w:rsidR="003E7AB6">
        <w:t xml:space="preserve"> t</w:t>
      </w:r>
      <w:r w:rsidR="001D1357" w:rsidRPr="003E7AB6">
        <w:t xml:space="preserve">he courts are slowly being consolidated, into combined justice </w:t>
      </w:r>
      <w:r w:rsidR="003E7AB6" w:rsidRPr="003E7AB6">
        <w:t>centr</w:t>
      </w:r>
      <w:r>
        <w:t>e</w:t>
      </w:r>
      <w:r w:rsidR="003E7AB6" w:rsidRPr="003E7AB6">
        <w:t>s</w:t>
      </w:r>
      <w:r w:rsidR="001D1357" w:rsidRPr="003E7AB6">
        <w:t xml:space="preserve"> </w:t>
      </w:r>
      <w:r w:rsidR="00BF0AF2">
        <w:t>that</w:t>
      </w:r>
      <w:r w:rsidR="001D1357" w:rsidRPr="003E7AB6">
        <w:t xml:space="preserve"> cover Crown, County</w:t>
      </w:r>
      <w:r w:rsidR="004A33DA">
        <w:t>,</w:t>
      </w:r>
      <w:r w:rsidR="001D1357" w:rsidRPr="003E7AB6">
        <w:t xml:space="preserve"> and </w:t>
      </w:r>
      <w:r w:rsidR="003E7AB6">
        <w:t xml:space="preserve">the </w:t>
      </w:r>
      <w:r w:rsidR="001D1357" w:rsidRPr="003E7AB6">
        <w:t>Magistrate</w:t>
      </w:r>
      <w:r w:rsidR="003E7AB6">
        <w:t>’</w:t>
      </w:r>
      <w:r w:rsidR="001D1357" w:rsidRPr="003E7AB6">
        <w:t xml:space="preserve">s </w:t>
      </w:r>
      <w:r w:rsidR="003E7AB6">
        <w:t xml:space="preserve">court </w:t>
      </w:r>
      <w:r>
        <w:t>as well</w:t>
      </w:r>
      <w:r w:rsidR="001D1357" w:rsidRPr="003E7AB6">
        <w:t>.</w:t>
      </w:r>
      <w:r w:rsidR="003E7AB6">
        <w:t xml:space="preserve"> </w:t>
      </w:r>
      <w:r w:rsidR="001D1357" w:rsidRPr="003E7AB6">
        <w:t>Magistrates have powers to punish on “summary offensive”, some discretion on “triable either” which means that they can punish themselves, within their limits, or indict to Crown</w:t>
      </w:r>
      <w:r w:rsidR="00591684">
        <w:rPr>
          <w:rStyle w:val="FootnoteReference"/>
        </w:rPr>
        <w:footnoteReference w:id="7"/>
      </w:r>
      <w:r w:rsidR="001D1357" w:rsidRPr="003E7AB6">
        <w:t>. Then there are offen</w:t>
      </w:r>
      <w:r w:rsidR="00BF0AF2">
        <w:t>s</w:t>
      </w:r>
      <w:r w:rsidR="001D1357" w:rsidRPr="003E7AB6">
        <w:t xml:space="preserve">es </w:t>
      </w:r>
      <w:r w:rsidR="00BF0AF2">
        <w:t>that</w:t>
      </w:r>
      <w:r w:rsidR="001D1357" w:rsidRPr="003E7AB6">
        <w:t xml:space="preserve"> </w:t>
      </w:r>
      <w:r w:rsidR="003E7AB6">
        <w:t xml:space="preserve">require </w:t>
      </w:r>
      <w:r w:rsidRPr="003E7AB6">
        <w:t>indict</w:t>
      </w:r>
      <w:r>
        <w:t>m</w:t>
      </w:r>
      <w:r w:rsidRPr="003E7AB6">
        <w:t>ent</w:t>
      </w:r>
      <w:r w:rsidR="001D1357" w:rsidRPr="003E7AB6">
        <w:t xml:space="preserve"> only. The clerk of the court, a </w:t>
      </w:r>
      <w:r w:rsidR="001D1357" w:rsidRPr="003E7AB6">
        <w:lastRenderedPageBreak/>
        <w:t>qualified lawyer, advise</w:t>
      </w:r>
      <w:r w:rsidR="003E7AB6">
        <w:t>s</w:t>
      </w:r>
      <w:r w:rsidR="001D1357" w:rsidRPr="003E7AB6">
        <w:t xml:space="preserve"> and issue</w:t>
      </w:r>
      <w:r w:rsidR="003E7AB6">
        <w:t>s</w:t>
      </w:r>
      <w:r w:rsidR="001D1357" w:rsidRPr="003E7AB6">
        <w:t xml:space="preserve"> </w:t>
      </w:r>
      <w:r>
        <w:t>m</w:t>
      </w:r>
      <w:r w:rsidR="001D1357" w:rsidRPr="003E7AB6">
        <w:t>any orders</w:t>
      </w:r>
      <w:r w:rsidR="000816AA">
        <w:rPr>
          <w:rStyle w:val="FootnoteReference"/>
        </w:rPr>
        <w:footnoteReference w:id="8"/>
      </w:r>
      <w:r w:rsidR="001D1357" w:rsidRPr="003E7AB6">
        <w:t xml:space="preserve">. Effectively the </w:t>
      </w:r>
      <w:r>
        <w:t>m</w:t>
      </w:r>
      <w:r w:rsidR="001D1357" w:rsidRPr="003E7AB6">
        <w:t xml:space="preserve">agistrates are a jury who have done a short procedure course. </w:t>
      </w:r>
      <w:r w:rsidR="003E7AB6">
        <w:t xml:space="preserve">Most of the powers rest with the </w:t>
      </w:r>
      <w:r w:rsidR="001D1357" w:rsidRPr="003E7AB6">
        <w:t>clerk</w:t>
      </w:r>
      <w:r>
        <w:t>,</w:t>
      </w:r>
      <w:r w:rsidR="003E7AB6">
        <w:t xml:space="preserve"> since </w:t>
      </w:r>
      <w:r>
        <w:t xml:space="preserve">they are </w:t>
      </w:r>
      <w:r w:rsidR="003E7AB6">
        <w:t>interpreter</w:t>
      </w:r>
      <w:r>
        <w:t>s</w:t>
      </w:r>
      <w:r w:rsidR="003E7AB6">
        <w:t xml:space="preserve"> of the law.</w:t>
      </w:r>
      <w:r w:rsidR="001D1357" w:rsidRPr="003E7AB6">
        <w:t xml:space="preserve"> </w:t>
      </w:r>
      <w:r w:rsidR="003E7AB6">
        <w:t>In s</w:t>
      </w:r>
      <w:r w:rsidR="001D1357" w:rsidRPr="003E7AB6">
        <w:t xml:space="preserve">ome courts, there is only one magistrate who </w:t>
      </w:r>
      <w:r w:rsidR="003E7AB6">
        <w:t>is a full</w:t>
      </w:r>
      <w:r w:rsidR="00BF0AF2">
        <w:t>-</w:t>
      </w:r>
      <w:r w:rsidR="003E7AB6">
        <w:t>time judge</w:t>
      </w:r>
      <w:r>
        <w:t>,</w:t>
      </w:r>
      <w:r w:rsidR="003E7AB6">
        <w:t xml:space="preserve"> also, t</w:t>
      </w:r>
      <w:r w:rsidR="001D1357" w:rsidRPr="003E7AB6">
        <w:t>hey are often used for issuing orders to remand prisoners and often without a public gallery</w:t>
      </w:r>
      <w:r w:rsidR="00591684">
        <w:rPr>
          <w:rStyle w:val="FootnoteReference"/>
        </w:rPr>
        <w:footnoteReference w:id="9"/>
      </w:r>
      <w:r w:rsidR="001D1357" w:rsidRPr="003E7AB6">
        <w:t>.</w:t>
      </w:r>
      <w:r w:rsidR="003E7AB6">
        <w:t xml:space="preserve"> </w:t>
      </w:r>
      <w:r>
        <w:t xml:space="preserve">The </w:t>
      </w:r>
      <w:r w:rsidR="003E7AB6" w:rsidRPr="003E7AB6">
        <w:t>Magistrate</w:t>
      </w:r>
      <w:r w:rsidR="001D1357" w:rsidRPr="003E7AB6">
        <w:t xml:space="preserve"> </w:t>
      </w:r>
      <w:r>
        <w:t>C</w:t>
      </w:r>
      <w:r w:rsidR="001D1357" w:rsidRPr="003E7AB6">
        <w:t xml:space="preserve">ourt can issue orders for </w:t>
      </w:r>
      <w:r w:rsidR="00BF0AF2">
        <w:t xml:space="preserve">the </w:t>
      </w:r>
      <w:r w:rsidR="001D1357" w:rsidRPr="003E7AB6">
        <w:t>seizure of assets for certain civil infractions such as not paying your council tax. The officers carrying out the order have more powers than county court bailiffs do.</w:t>
      </w:r>
    </w:p>
    <w:p w14:paraId="6DE6119F" w14:textId="77777777" w:rsidR="009876B9" w:rsidRDefault="00FC3ECF" w:rsidP="00C5055D">
      <w:pPr>
        <w:pStyle w:val="Heading1"/>
        <w:rPr>
          <w:rFonts w:ascii="Times New Roman" w:hAnsi="Times New Roman" w:cs="Times New Roman"/>
          <w:b/>
          <w:i/>
          <w:color w:val="auto"/>
          <w:sz w:val="24"/>
          <w:szCs w:val="24"/>
        </w:rPr>
      </w:pPr>
      <w:r w:rsidRPr="00FC3ECF">
        <w:rPr>
          <w:rFonts w:ascii="Times New Roman" w:hAnsi="Times New Roman" w:cs="Times New Roman"/>
          <w:b/>
          <w:i/>
          <w:color w:val="auto"/>
          <w:sz w:val="24"/>
          <w:szCs w:val="24"/>
        </w:rPr>
        <w:t xml:space="preserve">How the research has changed? </w:t>
      </w:r>
    </w:p>
    <w:p w14:paraId="2E3EF893" w14:textId="77777777" w:rsidR="00C5055D" w:rsidRDefault="00C5055D" w:rsidP="00C5055D"/>
    <w:p w14:paraId="40D2E3F6" w14:textId="47C26A83" w:rsidR="000757D3" w:rsidRDefault="00C5055D" w:rsidP="00067F5A">
      <w:pPr>
        <w:spacing w:line="480" w:lineRule="auto"/>
        <w:ind w:firstLine="720"/>
      </w:pPr>
      <w:r>
        <w:t>Our perception about the UK legal system was not</w:t>
      </w:r>
      <w:r w:rsidR="00B67A86">
        <w:t xml:space="preserve"> revealed as to be</w:t>
      </w:r>
      <w:r>
        <w:t xml:space="preserve"> much different, before conducting this research. We believe, that as like the legal system in America and other European Countries, the UK legal system prefer</w:t>
      </w:r>
      <w:r w:rsidR="00BF0AF2">
        <w:t>s</w:t>
      </w:r>
      <w:r>
        <w:t xml:space="preserve"> more transparency and is more interdependent. Compared to the roles of other courts like the Crown or Criminal courts, the magistrate’s courts knob more cases, for the fact that it is more approachable by the citizens. This research has</w:t>
      </w:r>
      <w:r w:rsidR="004A33DA">
        <w:t>,</w:t>
      </w:r>
      <w:r>
        <w:t xml:space="preserve"> however, opened up the perception that transparency is ensured for the fact that the criminal system is interdependent and each aspect of the court leave</w:t>
      </w:r>
      <w:r w:rsidR="00BF0AF2">
        <w:t>s</w:t>
      </w:r>
      <w:r>
        <w:t xml:space="preserve"> an impression over the stake</w:t>
      </w:r>
      <w:r w:rsidR="000757D3">
        <w:t>holders.</w:t>
      </w:r>
    </w:p>
    <w:p w14:paraId="758035EC" w14:textId="77777777" w:rsidR="000757D3" w:rsidRDefault="000757D3">
      <w:pPr>
        <w:spacing w:line="480" w:lineRule="auto"/>
      </w:pPr>
      <w:r>
        <w:br w:type="page"/>
      </w:r>
    </w:p>
    <w:p w14:paraId="52A18B9B" w14:textId="77777777" w:rsidR="00C5055D" w:rsidRDefault="000757D3" w:rsidP="000757D3">
      <w:pPr>
        <w:pStyle w:val="Heading1"/>
        <w:jc w:val="center"/>
        <w:rPr>
          <w:rFonts w:ascii="Times New Roman" w:hAnsi="Times New Roman" w:cs="Times New Roman"/>
          <w:b/>
          <w:color w:val="auto"/>
          <w:sz w:val="24"/>
          <w:szCs w:val="24"/>
        </w:rPr>
      </w:pPr>
      <w:r w:rsidRPr="000757D3">
        <w:rPr>
          <w:rFonts w:ascii="Times New Roman" w:hAnsi="Times New Roman" w:cs="Times New Roman"/>
          <w:b/>
          <w:color w:val="auto"/>
          <w:sz w:val="24"/>
          <w:szCs w:val="24"/>
        </w:rPr>
        <w:lastRenderedPageBreak/>
        <w:t>Bibliography:</w:t>
      </w:r>
    </w:p>
    <w:p w14:paraId="1A75904E" w14:textId="77777777" w:rsidR="000816AA" w:rsidRPr="000816AA" w:rsidRDefault="00591684" w:rsidP="000816AA">
      <w:pPr>
        <w:pStyle w:val="Bibliography"/>
        <w:spacing w:line="480" w:lineRule="auto"/>
      </w:pPr>
      <w:r>
        <w:fldChar w:fldCharType="begin"/>
      </w:r>
      <w:r>
        <w:instrText xml:space="preserve"> ADDIN ZOTERO_BIBL {"uncited":[],"omitted":[],"custom":[]} CSL_BIBLIOGRAPHY </w:instrText>
      </w:r>
      <w:r>
        <w:fldChar w:fldCharType="separate"/>
      </w:r>
      <w:r w:rsidR="000816AA" w:rsidRPr="000816AA">
        <w:t xml:space="preserve">Anleu, Sharyn Roach, and Kathy Mack. </w:t>
      </w:r>
      <w:r w:rsidR="000816AA" w:rsidRPr="000816AA">
        <w:rPr>
          <w:i/>
          <w:iCs/>
        </w:rPr>
        <w:t>Performing Judicial Authority in the Lower Courts</w:t>
      </w:r>
      <w:r w:rsidR="000816AA" w:rsidRPr="000816AA">
        <w:t>. Springer, 2017.</w:t>
      </w:r>
    </w:p>
    <w:p w14:paraId="2B2DAF64" w14:textId="77777777" w:rsidR="000816AA" w:rsidRPr="000816AA" w:rsidRDefault="000816AA" w:rsidP="000816AA">
      <w:pPr>
        <w:pStyle w:val="Bibliography"/>
        <w:spacing w:line="480" w:lineRule="auto"/>
      </w:pPr>
      <w:r w:rsidRPr="000816AA">
        <w:t xml:space="preserve">Doherty, Brian, and Graeme Hayes. “1 The Courts.” </w:t>
      </w:r>
      <w:r w:rsidRPr="000816AA">
        <w:rPr>
          <w:i/>
          <w:iCs/>
        </w:rPr>
        <w:t>Breaking Down the State</w:t>
      </w:r>
      <w:r w:rsidRPr="000816AA">
        <w:t>, 2015, 27.</w:t>
      </w:r>
    </w:p>
    <w:p w14:paraId="12AE6BDE" w14:textId="77777777" w:rsidR="000816AA" w:rsidRPr="000816AA" w:rsidRDefault="000816AA" w:rsidP="000816AA">
      <w:pPr>
        <w:pStyle w:val="Bibliography"/>
        <w:spacing w:line="480" w:lineRule="auto"/>
      </w:pPr>
      <w:r w:rsidRPr="000816AA">
        <w:t xml:space="preserve">Helm, Rebecca K., and Valerie P. Hans. “Procedural Roles.” </w:t>
      </w:r>
      <w:r w:rsidRPr="000816AA">
        <w:rPr>
          <w:i/>
          <w:iCs/>
        </w:rPr>
        <w:t>The Oxford Handbook of Criminal Process</w:t>
      </w:r>
      <w:r w:rsidRPr="000816AA">
        <w:t>, 2019, 209.</w:t>
      </w:r>
    </w:p>
    <w:p w14:paraId="486CE3A3" w14:textId="77777777" w:rsidR="000816AA" w:rsidRPr="000816AA" w:rsidRDefault="000816AA" w:rsidP="000816AA">
      <w:pPr>
        <w:pStyle w:val="Bibliography"/>
        <w:spacing w:line="480" w:lineRule="auto"/>
      </w:pPr>
      <w:r w:rsidRPr="000816AA">
        <w:t xml:space="preserve">Humphreys, Richard. “Enhancing Our Justice System.” </w:t>
      </w:r>
      <w:r w:rsidRPr="000816AA">
        <w:rPr>
          <w:i/>
          <w:iCs/>
        </w:rPr>
        <w:t>Studies: An Irish Quarterly Review</w:t>
      </w:r>
      <w:r w:rsidRPr="000816AA">
        <w:t xml:space="preserve"> 107, no. 425 (2018): 52–56.</w:t>
      </w:r>
    </w:p>
    <w:p w14:paraId="1465C2B4" w14:textId="77777777" w:rsidR="000816AA" w:rsidRPr="000816AA" w:rsidRDefault="000816AA" w:rsidP="000816AA">
      <w:pPr>
        <w:pStyle w:val="Bibliography"/>
        <w:spacing w:line="480" w:lineRule="auto"/>
      </w:pPr>
      <w:r w:rsidRPr="000816AA">
        <w:t xml:space="preserve">Robinson, Gwen. “Transforming Probation Services in Magistrates’ Courts.” </w:t>
      </w:r>
      <w:r w:rsidRPr="000816AA">
        <w:rPr>
          <w:i/>
          <w:iCs/>
        </w:rPr>
        <w:t>Probation Journal</w:t>
      </w:r>
      <w:r w:rsidRPr="000816AA">
        <w:t xml:space="preserve"> 65, no. 3 (2018): 316–334.</w:t>
      </w:r>
    </w:p>
    <w:p w14:paraId="1EEB28BE" w14:textId="77777777" w:rsidR="00591684" w:rsidRPr="00591684" w:rsidRDefault="00591684" w:rsidP="000816AA">
      <w:pPr>
        <w:spacing w:line="480" w:lineRule="auto"/>
      </w:pPr>
      <w:r>
        <w:fldChar w:fldCharType="end"/>
      </w:r>
    </w:p>
    <w:sectPr w:rsidR="00591684" w:rsidRPr="00591684" w:rsidSect="000B7825">
      <w:headerReference w:type="default" r:id="rId7"/>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C79C4" w16cid:durableId="21A5D3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64E2" w14:textId="77777777" w:rsidR="00C82D29" w:rsidRDefault="00C82D29" w:rsidP="00017EF0">
      <w:r>
        <w:separator/>
      </w:r>
    </w:p>
  </w:endnote>
  <w:endnote w:type="continuationSeparator" w:id="0">
    <w:p w14:paraId="0A84ADE9" w14:textId="77777777" w:rsidR="00C82D29" w:rsidRDefault="00C82D29" w:rsidP="0001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BA7B" w14:textId="77777777" w:rsidR="00C82D29" w:rsidRDefault="00C82D29" w:rsidP="00017EF0">
      <w:r>
        <w:separator/>
      </w:r>
    </w:p>
  </w:footnote>
  <w:footnote w:type="continuationSeparator" w:id="0">
    <w:p w14:paraId="67AE3560" w14:textId="77777777" w:rsidR="00C82D29" w:rsidRDefault="00C82D29" w:rsidP="00017EF0">
      <w:r>
        <w:continuationSeparator/>
      </w:r>
    </w:p>
  </w:footnote>
  <w:footnote w:id="1">
    <w:p w14:paraId="425F913A"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{"citationID":"z4nKzl48","properties":{"formattedCitation":"Sharyn Roach Anleu and Kathy Mack, {\\i{}Performing Judicial Authority in the Lower Courts} (Springer, 2017), 56.","plainCitation":"Sharyn Roach Anleu and Kathy Mack, Performing Judicial Authority in the Lower Courts (Springer, 2017), 56.","noteIndex":1},"citationItems":[{"id":118,"uris":["http://zotero.org/users/local/8reWiRZH/items/EHEI45JC"],"uri":["http://zotero.org/users/local/8reWiRZH/items/EHEI45JC"],"itemData":{"id":118,"type":"book","publisher":"Springer","source":"Google Scholar","title":"Performing judicial authority in the lower courts","author":[{"family":"Anleu","given":"Sharyn Roach"},{"family":"Mack","given":"Kathy"}],"issued":{"date-parts":[["2017"]]}},"locator":"56","label":"page"}],"schema":"https://github.com/citation-style-language/schema/raw/master/csl-citation.json"} </w:instrText>
      </w:r>
      <w:r>
        <w:fldChar w:fldCharType="separate"/>
      </w:r>
      <w:r w:rsidRPr="00591684">
        <w:rPr>
          <w:sz w:val="24"/>
          <w:szCs w:val="24"/>
        </w:rPr>
        <w:t xml:space="preserve">Sharyn Roach Anleu and Kathy Mack, </w:t>
      </w:r>
      <w:r w:rsidRPr="00591684">
        <w:rPr>
          <w:i/>
          <w:iCs/>
          <w:sz w:val="24"/>
          <w:szCs w:val="24"/>
        </w:rPr>
        <w:t>Performing Judicial Authority in the Lower Courts</w:t>
      </w:r>
      <w:r w:rsidRPr="00591684">
        <w:rPr>
          <w:sz w:val="24"/>
          <w:szCs w:val="24"/>
        </w:rPr>
        <w:t xml:space="preserve"> (Springer, 2017), 56.</w:t>
      </w:r>
      <w:r>
        <w:fldChar w:fldCharType="end"/>
      </w:r>
    </w:p>
  </w:footnote>
  <w:footnote w:id="2">
    <w:p w14:paraId="67533DC1"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{"citationID":"HGev5Oqj","properties":{"formattedCitation":"Anleu and Mack, {\\i{}Performing Judicial Authority in the Lower Courts}.","plainCitation":"Anleu and Mack, Performing Judicial Authority in the Lower Courts.","noteIndex":2},"citationItems":[{"id":118,"uris":["http://zotero.org/users/local/8reWiRZH/items/EHEI45JC"],"uri":["http://zotero.org/users/local/8reWiRZH/items/EHEI45JC"],"itemData":{"id":118,"type":"book","publisher":"Springer","source":"Google Scholar","title":"Performing judicial authority in the lower courts","author":[{"family":"Anleu","given":"Sharyn Roach"},{"family":"Mack","given":"Kathy"}],"issued":{"date-parts":[["2017"]]}}}],"schema":"https://github.com/citation-style-language/schema/raw/master/csl-citation.json"} </w:instrText>
      </w:r>
      <w:r>
        <w:fldChar w:fldCharType="separate"/>
      </w:r>
      <w:r w:rsidRPr="00591684">
        <w:rPr>
          <w:szCs w:val="24"/>
        </w:rPr>
        <w:t xml:space="preserve">Anleu and Mack, </w:t>
      </w:r>
      <w:r w:rsidRPr="00591684">
        <w:rPr>
          <w:i/>
          <w:iCs/>
          <w:szCs w:val="24"/>
        </w:rPr>
        <w:t>Performing Judicial Authority in the Lower Courts</w:t>
      </w:r>
      <w:r w:rsidRPr="00591684">
        <w:rPr>
          <w:szCs w:val="24"/>
        </w:rPr>
        <w:t>.</w:t>
      </w:r>
      <w:r>
        <w:fldChar w:fldCharType="end"/>
      </w:r>
    </w:p>
  </w:footnote>
  <w:footnote w:id="3">
    <w:p w14:paraId="7F74F8B0"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{"citationID":"yAHXCPPs","properties":{"formattedCitation":"Anleu and Mack.","plainCitation":"Anleu and Mack.","noteIndex":3},"citationItems":[{"id":118,"uris":["http://zotero.org/users/local/8reWiRZH/items/EHEI45JC"],"uri":["http://zotero.org/users/local/8reWiRZH/items/EHEI45JC"],"itemData":{"id":118,"type":"book","publisher":"Springer","source":"Google Scholar","title":"Performing judicial authority in the lower courts","author":[{"family":"Anleu","given":"Sharyn Roach"},{"family":"Mack","given":"Kathy"}],"issued":{"date-parts":[["2017"]]}}}],"schema":"https://github.com/citation-style-language/schema/raw/master/csl-citation.json"} </w:instrText>
      </w:r>
      <w:r>
        <w:fldChar w:fldCharType="separate"/>
      </w:r>
      <w:r w:rsidRPr="00591684">
        <w:t>Anleu and Mack.</w:t>
      </w:r>
      <w:r>
        <w:fldChar w:fldCharType="end"/>
      </w:r>
    </w:p>
  </w:footnote>
  <w:footnote w:id="4">
    <w:p w14:paraId="45758780"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{"citationID":"RPZLQIf0","properties":{"formattedCitation":"Richard Humphreys, \\uc0\\u8220{}Enhancing Our Justice System,\\uc0\\u8221{} {\\i{}Studies: An Irish Quarterly Review} 107, no. 425 (2018): 52\\uc0\\u8211{}56.","plainCitation":"Richard Humphreys, “Enhancing Our Justice System,” Studies: An Irish Quarterly Review 107, no. 425 (2018): 52–56.","noteIndex":4},"citationItems":[{"id":122,"uris":["http://zotero.org/users/local/8reWiRZH/items/DZ4DDB8Y"],"uri":["http://zotero.org/users/local/8reWiRZH/items/DZ4DDB8Y"],"itemData":{"id":122,"type":"article-journal","container-title":"Studies: An Irish Quarterly Review","issue":"425","page":"52–56","source":"Google Scholar","title":"Enhancing Our Justice System","volume":"107","author":[{"family":"Humphreys","given":"Richard"}],"issued":{"date-parts":[["2018"]]}}}],"schema":"https://github.com/citation-style-language/schema/raw/master/csl-citation.json"} </w:instrText>
      </w:r>
      <w:r>
        <w:fldChar w:fldCharType="separate"/>
      </w:r>
      <w:r w:rsidRPr="00591684">
        <w:rPr>
          <w:szCs w:val="24"/>
        </w:rPr>
        <w:t xml:space="preserve">Richard Humphreys, “Enhancing Our Justice System,” </w:t>
      </w:r>
      <w:r w:rsidRPr="00591684">
        <w:rPr>
          <w:i/>
          <w:iCs/>
          <w:szCs w:val="24"/>
        </w:rPr>
        <w:t>Studies: An Irish Quarterly Review</w:t>
      </w:r>
      <w:r w:rsidRPr="00591684">
        <w:rPr>
          <w:szCs w:val="24"/>
        </w:rPr>
        <w:t xml:space="preserve"> 107, no. 425 (2018): 52–56.</w:t>
      </w:r>
      <w:r>
        <w:fldChar w:fldCharType="end"/>
      </w:r>
    </w:p>
  </w:footnote>
  <w:footnote w:id="5">
    <w:p w14:paraId="48DC143D"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{"citationID":"QU6XyDpN","properties":{"formattedCitation":"Gwen Robinson, \\uc0\\u8220{}Transforming Probation Services in Magistrates\\uc0\\u8217{} Courts,\\uc0\\u8221{} {\\i{}Probation Journal} 65, no. 3 (2018): 316\\uc0\\u8211{}334.","plainCitation":"Gwen Robinson, “Transforming Probation Services in Magistrates’ Courts,” Probation Journal 65, no. 3 (2018): 316–334.","noteIndex":5},"citationItems":[{"id":119,"uris":["http://zotero.org/users/local/8reWiRZH/items/ZZNTI6XF"],"uri":["http://zotero.org/users/local/8reWiRZH/items/ZZNTI6XF"],"itemData":{"id":119,"type":"article-journal","container-title":"Probation Journal","issue":"3","page":"316–334","source":"Google Scholar","title":"Transforming probation services in Magistrates’ courts","volume":"65","author":[{"family":"Robinson","given":"Gwen"}],"issued":{"date-parts":[["2018"]]}}}],"schema":"https://github.com/citation-style-language/schema/raw/master/csl-citation.json"} </w:instrText>
      </w:r>
      <w:r>
        <w:fldChar w:fldCharType="separate"/>
      </w:r>
      <w:r w:rsidRPr="00591684">
        <w:rPr>
          <w:szCs w:val="24"/>
        </w:rPr>
        <w:t xml:space="preserve">Gwen Robinson, “Transforming Probation Services in Magistrates’ Courts,” </w:t>
      </w:r>
      <w:r w:rsidRPr="00591684">
        <w:rPr>
          <w:i/>
          <w:iCs/>
          <w:szCs w:val="24"/>
        </w:rPr>
        <w:t>Probation Journal</w:t>
      </w:r>
      <w:r w:rsidRPr="00591684">
        <w:rPr>
          <w:szCs w:val="24"/>
        </w:rPr>
        <w:t xml:space="preserve"> 65, no. 3 (2018): 316–334.</w:t>
      </w:r>
      <w:r>
        <w:fldChar w:fldCharType="end"/>
      </w:r>
    </w:p>
  </w:footnote>
  <w:footnote w:id="6">
    <w:p w14:paraId="3E0140BA"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{"citationID":"nRseCxNH","properties":{"formattedCitation":"Humphreys, \\uc0\\u8220{}Enhancing Our Justice System.\\uc0\\u8221{}","plainCitation":"Humphreys, “Enhancing Our Justice System.”","noteIndex":6},"citationItems":[{"id":122,"uris":["http://zotero.org/users/local/8reWiRZH/items/DZ4DDB8Y"],"uri":["http://zotero.org/users/local/8reWiRZH/items/DZ4DDB8Y"],"itemData":{"id":122,"type":"article-journal","container-title":"Studies: An Irish Quarterly Review","issue":"425","page":"52–56","source":"Google Scholar","title":"Enhancing Our Justice System","volume":"107","author":[{"family":"Humphreys","given":"Richard"}],"issued":{"date-parts":[["2018"]]}}}],"schema":"https://github.com/citation-style-language/schema/raw/master/csl-citation.json"} </w:instrText>
      </w:r>
      <w:r>
        <w:fldChar w:fldCharType="separate"/>
      </w:r>
      <w:r w:rsidRPr="00591684">
        <w:rPr>
          <w:szCs w:val="24"/>
        </w:rPr>
        <w:t>Humphreys, “Enhancing Our Justice System.”</w:t>
      </w:r>
      <w:r>
        <w:fldChar w:fldCharType="end"/>
      </w:r>
    </w:p>
  </w:footnote>
  <w:footnote w:id="7">
    <w:p w14:paraId="511CEDDF" w14:textId="77777777" w:rsidR="00591684" w:rsidRDefault="00591684">
      <w:pPr>
        <w:pStyle w:val="FootnoteText"/>
      </w:pPr>
      <w:r>
        <w:rPr>
          <w:rStyle w:val="FootnoteReference"/>
        </w:rPr>
        <w:footnoteRef/>
      </w:r>
      <w:r>
        <w:t xml:space="preserve"> </w:t>
      </w:r>
      <w:r>
        <w:fldChar w:fldCharType="begin"/>
      </w:r>
      <w:r>
        <w:instrText xml:space="preserve"> ADDIN ZOTERO_ITEM CSL_CITATION {"citationID":"61vufkUL","properties":{"formattedCitation":"Brian Doherty and Graeme Hayes, \\uc0\\u8220{}1 The Courts,\\uc0\\u8221{} {\\i{}Breaking Down the State}, 2015, 27.","plainCitation":"Brian Doherty and Graeme Hayes, “1 The Courts,” Breaking Down the State, 2015, 27.","noteIndex":7},"citationItems":[{"id":124,"uris":["http://zotero.org/users/local/8reWiRZH/items/9DYIJMWB"],"uri":["http://zotero.org/users/local/8reWiRZH/items/9DYIJMWB"],"itemData":{"id":124,"type":"article-journal","container-title":"Breaking Down the State","page":"27","source":"Google Scholar","title":"1 The Courts","author":[{"family":"Doherty","given":"Brian"},{"family":"Hayes","given":"Graeme"}],"issued":{"date-parts":[["2015"]]}}}],"schema":"https://github.com/citation-style-language/schema/raw/master/csl-citation.json"} </w:instrText>
      </w:r>
      <w:r>
        <w:fldChar w:fldCharType="separate"/>
      </w:r>
      <w:r w:rsidRPr="00591684">
        <w:rPr>
          <w:szCs w:val="24"/>
        </w:rPr>
        <w:t xml:space="preserve">Brian Doherty and Graeme Hayes, “1 The Courts,” </w:t>
      </w:r>
      <w:r w:rsidRPr="00591684">
        <w:rPr>
          <w:i/>
          <w:iCs/>
          <w:szCs w:val="24"/>
        </w:rPr>
        <w:t>Breaking Down the State</w:t>
      </w:r>
      <w:r w:rsidRPr="00591684">
        <w:rPr>
          <w:szCs w:val="24"/>
        </w:rPr>
        <w:t>, 2015, 27.</w:t>
      </w:r>
      <w:r>
        <w:fldChar w:fldCharType="end"/>
      </w:r>
    </w:p>
  </w:footnote>
  <w:footnote w:id="8">
    <w:p w14:paraId="5DDE56BB" w14:textId="77777777" w:rsidR="000816AA" w:rsidRDefault="000816AA">
      <w:pPr>
        <w:pStyle w:val="FootnoteText"/>
      </w:pPr>
      <w:r>
        <w:rPr>
          <w:rStyle w:val="FootnoteReference"/>
        </w:rPr>
        <w:footnoteRef/>
      </w:r>
      <w:r>
        <w:t xml:space="preserve"> </w:t>
      </w:r>
      <w:r>
        <w:fldChar w:fldCharType="begin"/>
      </w:r>
      <w:r>
        <w:instrText xml:space="preserve"> ADDIN ZOTERO_ITEM CSL_CITATION {"citationID":"BqUnxIuk","properties":{"formattedCitation":"Rebecca K. Helm and Valerie P. Hans, \\uc0\\u8220{}Procedural Roles,\\uc0\\u8221{} {\\i{}The Oxford Handbook of Criminal Process}, 2019, 209.","plainCitation":"Rebecca K. Helm and Valerie P. Hans, “Procedural Roles,” The Oxford Handbook of Criminal Process, 2019, 209.","noteIndex":8},"citationItems":[{"id":127,"uris":["http://zotero.org/users/local/8reWiRZH/items/FAI8556J"],"uri":["http://zotero.org/users/local/8reWiRZH/items/FAI8556J"],"itemData":{"id":127,"type":"article-journal","container-title":"The Oxford Handbook of Criminal Process","page":"209","source":"Google Scholar","title":"Procedural Roles","author":[{"family":"Helm","given":"Rebecca K."},{"family":"Hans","given":"Valerie P."}],"issued":{"date-parts":[["2019"]]}}}],"schema":"https://github.com/citation-style-language/schema/raw/master/csl-citation.json"} </w:instrText>
      </w:r>
      <w:r>
        <w:fldChar w:fldCharType="separate"/>
      </w:r>
      <w:r w:rsidRPr="000816AA">
        <w:rPr>
          <w:szCs w:val="24"/>
        </w:rPr>
        <w:t xml:space="preserve">Rebecca K. Helm and Valerie P. Hans, “Procedural Roles,” </w:t>
      </w:r>
      <w:r w:rsidRPr="000816AA">
        <w:rPr>
          <w:i/>
          <w:iCs/>
          <w:szCs w:val="24"/>
        </w:rPr>
        <w:t>The Oxford Handbook of Criminal Process</w:t>
      </w:r>
      <w:r w:rsidRPr="000816AA">
        <w:rPr>
          <w:szCs w:val="24"/>
        </w:rPr>
        <w:t>, 2019, 209.</w:t>
      </w:r>
      <w:r>
        <w:fldChar w:fldCharType="end"/>
      </w:r>
    </w:p>
  </w:footnote>
  <w:footnote w:id="9">
    <w:p w14:paraId="35B23227" w14:textId="77777777" w:rsidR="00591684" w:rsidRDefault="00591684">
      <w:pPr>
        <w:pStyle w:val="FootnoteText"/>
      </w:pPr>
      <w:r>
        <w:rPr>
          <w:rStyle w:val="FootnoteReference"/>
        </w:rPr>
        <w:footnoteRef/>
      </w:r>
      <w:r>
        <w:t xml:space="preserve"> </w:t>
      </w:r>
      <w:r>
        <w:fldChar w:fldCharType="begin"/>
      </w:r>
      <w:r w:rsidR="000816AA">
        <w:instrText xml:space="preserve"> ADDIN ZOTERO_ITEM CSL_CITATION {"citationID":"9bs4t7oH","properties":{"formattedCitation":"Anleu and Mack, {\\i{}Performing Judicial Authority in the Lower Courts}.","plainCitation":"Anleu and Mack, Performing Judicial Authority in the Lower Courts.","noteIndex":9},"citationItems":[{"id":118,"uris":["http://zotero.org/users/local/8reWiRZH/items/EHEI45JC"],"uri":["http://zotero.org/users/local/8reWiRZH/items/EHEI45JC"],"itemData":{"id":118,"type":"book","publisher":"Springer","source":"Google Scholar","title":"Performing judicial authority in the lower courts","author":[{"family":"Anleu","given":"Sharyn Roach"},{"family":"Mack","given":"Kathy"}],"issued":{"date-parts":[["2017"]]}}}],"schema":"https://github.com/citation-style-language/schema/raw/master/csl-citation.json"} </w:instrText>
      </w:r>
      <w:r>
        <w:fldChar w:fldCharType="separate"/>
      </w:r>
      <w:r w:rsidRPr="00591684">
        <w:rPr>
          <w:szCs w:val="24"/>
        </w:rPr>
        <w:t xml:space="preserve">Anleu and Mack, </w:t>
      </w:r>
      <w:r w:rsidRPr="00591684">
        <w:rPr>
          <w:i/>
          <w:iCs/>
          <w:szCs w:val="24"/>
        </w:rPr>
        <w:t>Performing Judicial Authority in the Lower Courts</w:t>
      </w:r>
      <w:r w:rsidRPr="00591684">
        <w:rPr>
          <w:szCs w:val="24"/>
        </w:rPr>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516F6" w14:textId="77777777" w:rsidR="000B7825" w:rsidRPr="00D262A6" w:rsidRDefault="002C0AE3" w:rsidP="00D262A6">
    <w:pPr>
      <w:pStyle w:val="Header"/>
      <w:jc w:val="right"/>
    </w:pPr>
    <w:r>
      <w:t xml:space="preserve">Law and International Law </w:t>
    </w:r>
    <w:r w:rsidR="000B7825" w:rsidRPr="00D262A6">
      <w:t xml:space="preserve">    </w:t>
    </w:r>
    <w:r w:rsidR="00C967A8">
      <w:fldChar w:fldCharType="begin"/>
    </w:r>
    <w:r w:rsidR="00C967A8">
      <w:instrText xml:space="preserve"> PAGE   \* MERGEFORMAT </w:instrText>
    </w:r>
    <w:r w:rsidR="00C967A8">
      <w:fldChar w:fldCharType="separate"/>
    </w:r>
    <w:r w:rsidR="00621D57">
      <w:rPr>
        <w:noProof/>
      </w:rPr>
      <w:t>5</w:t>
    </w:r>
    <w:r w:rsidR="00C967A8">
      <w:rPr>
        <w:noProof/>
      </w:rPr>
      <w:fldChar w:fldCharType="end"/>
    </w:r>
  </w:p>
  <w:p w14:paraId="5ACEA70B" w14:textId="77777777" w:rsidR="000B7825" w:rsidRPr="00D262A6" w:rsidRDefault="000B7825" w:rsidP="00D262A6">
    <w:pPr>
      <w:pStyle w:val="Header"/>
      <w:jc w:val="right"/>
    </w:pPr>
  </w:p>
  <w:p w14:paraId="44EB3C5E" w14:textId="77777777" w:rsidR="000B7825" w:rsidRPr="00D262A6" w:rsidRDefault="000B7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7DA0"/>
    <w:multiLevelType w:val="hybridMultilevel"/>
    <w:tmpl w:val="4922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750C6"/>
    <w:multiLevelType w:val="hybridMultilevel"/>
    <w:tmpl w:val="EEC4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jI3MTYzMDc3sjBQ0lEKTi0uzszPAykwrQUAhC+l6iwAAAA="/>
  </w:docVars>
  <w:rsids>
    <w:rsidRoot w:val="00017EF0"/>
    <w:rsid w:val="00017EF0"/>
    <w:rsid w:val="00060338"/>
    <w:rsid w:val="000622B0"/>
    <w:rsid w:val="00067F5A"/>
    <w:rsid w:val="000757D3"/>
    <w:rsid w:val="000816AA"/>
    <w:rsid w:val="000A547B"/>
    <w:rsid w:val="000B7825"/>
    <w:rsid w:val="000C6E11"/>
    <w:rsid w:val="000F5D2F"/>
    <w:rsid w:val="001479B2"/>
    <w:rsid w:val="00155AA4"/>
    <w:rsid w:val="001D1357"/>
    <w:rsid w:val="00227D39"/>
    <w:rsid w:val="00231349"/>
    <w:rsid w:val="002331E0"/>
    <w:rsid w:val="002A26D4"/>
    <w:rsid w:val="002C0AE3"/>
    <w:rsid w:val="00346AB5"/>
    <w:rsid w:val="00371D81"/>
    <w:rsid w:val="003A193A"/>
    <w:rsid w:val="003B1D5E"/>
    <w:rsid w:val="003B498F"/>
    <w:rsid w:val="003C398B"/>
    <w:rsid w:val="003E7AB6"/>
    <w:rsid w:val="004379FF"/>
    <w:rsid w:val="004573C4"/>
    <w:rsid w:val="0049574B"/>
    <w:rsid w:val="004A33DA"/>
    <w:rsid w:val="00517E6B"/>
    <w:rsid w:val="0052406A"/>
    <w:rsid w:val="00531299"/>
    <w:rsid w:val="00547487"/>
    <w:rsid w:val="00591684"/>
    <w:rsid w:val="005E0BEC"/>
    <w:rsid w:val="006036C4"/>
    <w:rsid w:val="00621D57"/>
    <w:rsid w:val="00655C28"/>
    <w:rsid w:val="006B77A7"/>
    <w:rsid w:val="006D618B"/>
    <w:rsid w:val="00724147"/>
    <w:rsid w:val="00773CB2"/>
    <w:rsid w:val="007904E9"/>
    <w:rsid w:val="007D32A6"/>
    <w:rsid w:val="007D37B9"/>
    <w:rsid w:val="00807A6E"/>
    <w:rsid w:val="00872E5D"/>
    <w:rsid w:val="008807BF"/>
    <w:rsid w:val="008A0361"/>
    <w:rsid w:val="008C2D22"/>
    <w:rsid w:val="008D2CBE"/>
    <w:rsid w:val="008D3009"/>
    <w:rsid w:val="00916E88"/>
    <w:rsid w:val="00920776"/>
    <w:rsid w:val="00927FB2"/>
    <w:rsid w:val="00943E9E"/>
    <w:rsid w:val="009501FA"/>
    <w:rsid w:val="009532AD"/>
    <w:rsid w:val="009876B9"/>
    <w:rsid w:val="009E72D0"/>
    <w:rsid w:val="00A10CFF"/>
    <w:rsid w:val="00A62771"/>
    <w:rsid w:val="00A67792"/>
    <w:rsid w:val="00A917FD"/>
    <w:rsid w:val="00AA185F"/>
    <w:rsid w:val="00AC6C5D"/>
    <w:rsid w:val="00AF3C3E"/>
    <w:rsid w:val="00B352D1"/>
    <w:rsid w:val="00B65E0B"/>
    <w:rsid w:val="00B67A86"/>
    <w:rsid w:val="00B917C3"/>
    <w:rsid w:val="00BC261F"/>
    <w:rsid w:val="00BF0AF2"/>
    <w:rsid w:val="00C5055D"/>
    <w:rsid w:val="00C7528C"/>
    <w:rsid w:val="00C82D29"/>
    <w:rsid w:val="00C967A8"/>
    <w:rsid w:val="00C96DE5"/>
    <w:rsid w:val="00CA2F1E"/>
    <w:rsid w:val="00D11EE7"/>
    <w:rsid w:val="00D262A6"/>
    <w:rsid w:val="00D449E7"/>
    <w:rsid w:val="00E270A7"/>
    <w:rsid w:val="00E779AB"/>
    <w:rsid w:val="00EB2A18"/>
    <w:rsid w:val="00F0449B"/>
    <w:rsid w:val="00FC3ECF"/>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79E"/>
  <w15:docId w15:val="{77307286-3A6D-484C-B251-BC3B4B2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3E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0A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A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3EC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C3ECF"/>
    <w:pPr>
      <w:spacing w:before="100" w:beforeAutospacing="1" w:after="100" w:afterAutospacing="1"/>
    </w:pPr>
  </w:style>
  <w:style w:type="character" w:styleId="Hyperlink">
    <w:name w:val="Hyperlink"/>
    <w:basedOn w:val="DefaultParagraphFont"/>
    <w:uiPriority w:val="99"/>
    <w:semiHidden/>
    <w:unhideWhenUsed/>
    <w:rsid w:val="00FC3ECF"/>
    <w:rPr>
      <w:color w:val="0000FF"/>
      <w:u w:val="single"/>
    </w:rPr>
  </w:style>
  <w:style w:type="paragraph" w:customStyle="1" w:styleId="uiqtextpara">
    <w:name w:val="ui_qtext_para"/>
    <w:basedOn w:val="Normal"/>
    <w:rsid w:val="001D1357"/>
    <w:pPr>
      <w:spacing w:before="100" w:beforeAutospacing="1" w:after="100" w:afterAutospacing="1"/>
    </w:pPr>
  </w:style>
  <w:style w:type="paragraph" w:styleId="Bibliography">
    <w:name w:val="Bibliography"/>
    <w:basedOn w:val="Normal"/>
    <w:next w:val="Normal"/>
    <w:uiPriority w:val="37"/>
    <w:unhideWhenUsed/>
    <w:rsid w:val="00591684"/>
    <w:pPr>
      <w:ind w:left="720" w:hanging="720"/>
    </w:pPr>
  </w:style>
  <w:style w:type="character" w:styleId="CommentReference">
    <w:name w:val="annotation reference"/>
    <w:basedOn w:val="DefaultParagraphFont"/>
    <w:uiPriority w:val="99"/>
    <w:semiHidden/>
    <w:unhideWhenUsed/>
    <w:rsid w:val="00B67A86"/>
    <w:rPr>
      <w:sz w:val="16"/>
      <w:szCs w:val="16"/>
    </w:rPr>
  </w:style>
  <w:style w:type="paragraph" w:styleId="CommentText">
    <w:name w:val="annotation text"/>
    <w:basedOn w:val="Normal"/>
    <w:link w:val="CommentTextChar"/>
    <w:uiPriority w:val="99"/>
    <w:semiHidden/>
    <w:unhideWhenUsed/>
    <w:rsid w:val="00B67A86"/>
    <w:rPr>
      <w:sz w:val="20"/>
      <w:szCs w:val="20"/>
    </w:rPr>
  </w:style>
  <w:style w:type="character" w:customStyle="1" w:styleId="CommentTextChar">
    <w:name w:val="Comment Text Char"/>
    <w:basedOn w:val="DefaultParagraphFont"/>
    <w:link w:val="CommentText"/>
    <w:uiPriority w:val="99"/>
    <w:semiHidden/>
    <w:rsid w:val="00B67A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A86"/>
    <w:rPr>
      <w:b/>
      <w:bCs/>
    </w:rPr>
  </w:style>
  <w:style w:type="character" w:customStyle="1" w:styleId="CommentSubjectChar">
    <w:name w:val="Comment Subject Char"/>
    <w:basedOn w:val="CommentTextChar"/>
    <w:link w:val="CommentSubject"/>
    <w:uiPriority w:val="99"/>
    <w:semiHidden/>
    <w:rsid w:val="00B67A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7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4345">
      <w:bodyDiv w:val="1"/>
      <w:marLeft w:val="0"/>
      <w:marRight w:val="0"/>
      <w:marTop w:val="0"/>
      <w:marBottom w:val="0"/>
      <w:divBdr>
        <w:top w:val="none" w:sz="0" w:space="0" w:color="auto"/>
        <w:left w:val="none" w:sz="0" w:space="0" w:color="auto"/>
        <w:bottom w:val="none" w:sz="0" w:space="0" w:color="auto"/>
        <w:right w:val="none" w:sz="0" w:space="0" w:color="auto"/>
      </w:divBdr>
    </w:div>
    <w:div w:id="953055180">
      <w:bodyDiv w:val="1"/>
      <w:marLeft w:val="0"/>
      <w:marRight w:val="0"/>
      <w:marTop w:val="0"/>
      <w:marBottom w:val="0"/>
      <w:divBdr>
        <w:top w:val="none" w:sz="0" w:space="0" w:color="auto"/>
        <w:left w:val="none" w:sz="0" w:space="0" w:color="auto"/>
        <w:bottom w:val="none" w:sz="0" w:space="0" w:color="auto"/>
        <w:right w:val="none" w:sz="0" w:space="0" w:color="auto"/>
      </w:divBdr>
    </w:div>
    <w:div w:id="1561861298">
      <w:bodyDiv w:val="1"/>
      <w:marLeft w:val="0"/>
      <w:marRight w:val="0"/>
      <w:marTop w:val="0"/>
      <w:marBottom w:val="0"/>
      <w:divBdr>
        <w:top w:val="none" w:sz="0" w:space="0" w:color="auto"/>
        <w:left w:val="none" w:sz="0" w:space="0" w:color="auto"/>
        <w:bottom w:val="none" w:sz="0" w:space="0" w:color="auto"/>
        <w:right w:val="none" w:sz="0" w:space="0" w:color="auto"/>
      </w:divBdr>
    </w:div>
    <w:div w:id="16554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Morining</cp:lastModifiedBy>
  <cp:revision>3</cp:revision>
  <dcterms:created xsi:type="dcterms:W3CDTF">2019-12-19T19:02:00Z</dcterms:created>
  <dcterms:modified xsi:type="dcterms:W3CDTF">2019-12-20T11:00:00Z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id="jKBfbHSS"/&gt;&lt;style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