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849AD" w14:textId="77777777" w:rsidR="00227479" w:rsidRPr="00B40FB3" w:rsidRDefault="00227479" w:rsidP="00B40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A9F42B2" w14:textId="77777777" w:rsidR="005749D3" w:rsidRPr="00B40FB3" w:rsidRDefault="005749D3" w:rsidP="00B40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ACE8021" w14:textId="77777777" w:rsidR="005749D3" w:rsidRPr="00B40FB3" w:rsidRDefault="005749D3" w:rsidP="00B40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4F16472E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B59DB5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6FF51B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AEA2B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659E6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3A425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D063F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A55A74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BFD7E" w14:textId="77777777" w:rsidR="005749D3" w:rsidRPr="00B40FB3" w:rsidRDefault="00566273" w:rsidP="00B40F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>Finance Assignment</w:t>
      </w:r>
    </w:p>
    <w:p w14:paraId="35888D16" w14:textId="77777777" w:rsidR="005749D3" w:rsidRPr="00B40FB3" w:rsidRDefault="00B40FB3" w:rsidP="00B40F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>Name of Student</w:t>
      </w:r>
    </w:p>
    <w:p w14:paraId="52995551" w14:textId="77777777" w:rsidR="00B40FB3" w:rsidRPr="00B40FB3" w:rsidRDefault="00B40FB3" w:rsidP="00B40F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>Name of Institution</w:t>
      </w:r>
    </w:p>
    <w:p w14:paraId="5F6AD379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FBB00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F5B402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80795BB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07FB15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lastRenderedPageBreak/>
        <w:t>Introduction</w:t>
      </w:r>
    </w:p>
    <w:p w14:paraId="4B38076E" w14:textId="77777777" w:rsidR="000E3900" w:rsidRPr="00B40FB3" w:rsidRDefault="00687C73" w:rsidP="00B40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>The Securities and Exchange Commission has a mission of protecting investors,</w:t>
      </w:r>
      <w:r w:rsidR="00CC6A71" w:rsidRPr="00B40FB3">
        <w:rPr>
          <w:rFonts w:ascii="Times New Roman" w:hAnsi="Times New Roman" w:cs="Times New Roman"/>
          <w:sz w:val="24"/>
          <w:szCs w:val="24"/>
        </w:rPr>
        <w:t xml:space="preserve"> maintaining fair and effective markets and make sure that enough capital is formed in the economy</w:t>
      </w:r>
      <w:sdt>
        <w:sdtPr>
          <w:rPr>
            <w:rFonts w:ascii="Times New Roman" w:hAnsi="Times New Roman" w:cs="Times New Roman"/>
            <w:sz w:val="24"/>
            <w:szCs w:val="24"/>
          </w:rPr>
          <w:id w:val="326791692"/>
          <w:citation/>
        </w:sdtPr>
        <w:sdtEndPr/>
        <w:sdtContent>
          <w:r w:rsidR="00CC6A71" w:rsidRPr="00B40F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C6A71" w:rsidRPr="00B40FB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Inv191 \l 1033 </w:instrText>
          </w:r>
          <w:r w:rsidR="00CC6A71" w:rsidRPr="00B40F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CC6A71" w:rsidRPr="00B40FB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(Investor.gov, 2019)</w:t>
          </w:r>
          <w:r w:rsidR="00CC6A71" w:rsidRPr="00B40F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097117" w:rsidRPr="00B40FB3">
        <w:rPr>
          <w:rFonts w:ascii="Times New Roman" w:hAnsi="Times New Roman" w:cs="Times New Roman"/>
          <w:sz w:val="24"/>
          <w:szCs w:val="24"/>
        </w:rPr>
        <w:t>.</w:t>
      </w:r>
      <w:r w:rsidR="00F1573D" w:rsidRPr="00B40FB3">
        <w:rPr>
          <w:rFonts w:ascii="Times New Roman" w:hAnsi="Times New Roman" w:cs="Times New Roman"/>
          <w:sz w:val="24"/>
          <w:szCs w:val="24"/>
        </w:rPr>
        <w:t xml:space="preserve"> Investors have focused on security markets </w:t>
      </w:r>
      <w:r w:rsidR="00DB0957" w:rsidRPr="00B40FB3">
        <w:rPr>
          <w:rFonts w:ascii="Times New Roman" w:hAnsi="Times New Roman" w:cs="Times New Roman"/>
          <w:sz w:val="24"/>
          <w:szCs w:val="24"/>
        </w:rPr>
        <w:t xml:space="preserve">to invest and grow their money for important life events. </w:t>
      </w:r>
      <w:r w:rsidR="0060000C" w:rsidRPr="00B40FB3">
        <w:rPr>
          <w:rFonts w:ascii="Times New Roman" w:hAnsi="Times New Roman" w:cs="Times New Roman"/>
          <w:sz w:val="24"/>
          <w:szCs w:val="24"/>
        </w:rPr>
        <w:t>A greater number of people are living longer retired lives putting extra pressure on investment products for these retired people.</w:t>
      </w:r>
      <w:r w:rsidR="00EE1E55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B444D1" w:rsidRPr="00B40FB3">
        <w:rPr>
          <w:rFonts w:ascii="Times New Roman" w:hAnsi="Times New Roman" w:cs="Times New Roman"/>
          <w:sz w:val="24"/>
          <w:szCs w:val="24"/>
        </w:rPr>
        <w:t>People are now focusing more on the 401(K) plans instead of company based retirement plans so they have to show more responsibility in terms of savings.</w:t>
      </w:r>
      <w:r w:rsidR="002031DE" w:rsidRPr="00B40FB3">
        <w:rPr>
          <w:rFonts w:ascii="Times New Roman" w:hAnsi="Times New Roman" w:cs="Times New Roman"/>
          <w:sz w:val="24"/>
          <w:szCs w:val="24"/>
        </w:rPr>
        <w:t xml:space="preserve"> The investor does not have clear choices when </w:t>
      </w:r>
      <w:r w:rsidR="00B31B30" w:rsidRPr="00B40FB3">
        <w:rPr>
          <w:rFonts w:ascii="Times New Roman" w:hAnsi="Times New Roman" w:cs="Times New Roman"/>
          <w:sz w:val="24"/>
          <w:szCs w:val="24"/>
        </w:rPr>
        <w:t>they need professional advice.</w:t>
      </w:r>
      <w:r w:rsidR="00CD4E8C" w:rsidRPr="00B40FB3">
        <w:rPr>
          <w:rFonts w:ascii="Times New Roman" w:hAnsi="Times New Roman" w:cs="Times New Roman"/>
          <w:sz w:val="24"/>
          <w:szCs w:val="24"/>
        </w:rPr>
        <w:t xml:space="preserve"> There</w:t>
      </w:r>
      <w:r w:rsidR="007F1B8C" w:rsidRPr="00B40FB3">
        <w:rPr>
          <w:rFonts w:ascii="Times New Roman" w:hAnsi="Times New Roman" w:cs="Times New Roman"/>
          <w:sz w:val="24"/>
          <w:szCs w:val="24"/>
        </w:rPr>
        <w:t xml:space="preserve"> is less difference between investment professionals and investment advisors.</w:t>
      </w:r>
      <w:r w:rsidR="001B0602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A22717" w:rsidRPr="00B40FB3">
        <w:rPr>
          <w:rFonts w:ascii="Times New Roman" w:hAnsi="Times New Roman" w:cs="Times New Roman"/>
          <w:sz w:val="24"/>
          <w:szCs w:val="24"/>
        </w:rPr>
        <w:t xml:space="preserve">The SEC should gain more and more </w:t>
      </w:r>
      <w:r w:rsidR="00D02911" w:rsidRPr="00B40FB3">
        <w:rPr>
          <w:rFonts w:ascii="Times New Roman" w:hAnsi="Times New Roman" w:cs="Times New Roman"/>
          <w:sz w:val="24"/>
          <w:szCs w:val="24"/>
        </w:rPr>
        <w:t xml:space="preserve">knowledge regarding </w:t>
      </w:r>
      <w:r w:rsidR="0050075E">
        <w:rPr>
          <w:rFonts w:ascii="Times New Roman" w:hAnsi="Times New Roman" w:cs="Times New Roman"/>
          <w:sz w:val="24"/>
          <w:szCs w:val="24"/>
        </w:rPr>
        <w:t xml:space="preserve">the </w:t>
      </w:r>
      <w:r w:rsidR="00D02911" w:rsidRPr="00B40FB3">
        <w:rPr>
          <w:rFonts w:ascii="Times New Roman" w:hAnsi="Times New Roman" w:cs="Times New Roman"/>
          <w:sz w:val="24"/>
          <w:szCs w:val="24"/>
        </w:rPr>
        <w:t>participation</w:t>
      </w:r>
      <w:r w:rsidR="009A477D" w:rsidRPr="00B40FB3">
        <w:rPr>
          <w:rFonts w:ascii="Times New Roman" w:hAnsi="Times New Roman" w:cs="Times New Roman"/>
          <w:sz w:val="24"/>
          <w:szCs w:val="24"/>
        </w:rPr>
        <w:t xml:space="preserve"> of vario</w:t>
      </w:r>
      <w:r w:rsidR="00D02911" w:rsidRPr="00B40FB3">
        <w:rPr>
          <w:rFonts w:ascii="Times New Roman" w:hAnsi="Times New Roman" w:cs="Times New Roman"/>
          <w:sz w:val="24"/>
          <w:szCs w:val="24"/>
        </w:rPr>
        <w:t xml:space="preserve">us investors in capital markets which will allow the authority </w:t>
      </w:r>
      <w:r w:rsidR="00C20D66" w:rsidRPr="00B40FB3">
        <w:rPr>
          <w:rFonts w:ascii="Times New Roman" w:hAnsi="Times New Roman" w:cs="Times New Roman"/>
          <w:sz w:val="24"/>
          <w:szCs w:val="24"/>
        </w:rPr>
        <w:t xml:space="preserve">to </w:t>
      </w:r>
      <w:r w:rsidR="00123E00" w:rsidRPr="00B40FB3">
        <w:rPr>
          <w:rFonts w:ascii="Times New Roman" w:hAnsi="Times New Roman" w:cs="Times New Roman"/>
          <w:sz w:val="24"/>
          <w:szCs w:val="24"/>
        </w:rPr>
        <w:t>address new risks faced by investors.</w:t>
      </w:r>
      <w:r w:rsidR="00642451" w:rsidRPr="00B4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81E6A5" w14:textId="77777777" w:rsidR="00097117" w:rsidRPr="00B40FB3" w:rsidRDefault="00097117" w:rsidP="00B40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>The AICPA has a mission of empowering</w:t>
      </w:r>
      <w:r w:rsidR="005B7401" w:rsidRPr="00B40FB3">
        <w:rPr>
          <w:rFonts w:ascii="Times New Roman" w:hAnsi="Times New Roman" w:cs="Times New Roman"/>
          <w:sz w:val="24"/>
          <w:szCs w:val="24"/>
        </w:rPr>
        <w:t xml:space="preserve"> the global businesses to su</w:t>
      </w:r>
      <w:r w:rsidR="00E929F7" w:rsidRPr="00B40FB3">
        <w:rPr>
          <w:rFonts w:ascii="Times New Roman" w:hAnsi="Times New Roman" w:cs="Times New Roman"/>
          <w:sz w:val="24"/>
          <w:szCs w:val="24"/>
        </w:rPr>
        <w:t>cceed including CPAs and CGMAs by providing</w:t>
      </w:r>
      <w:r w:rsidR="00053B19" w:rsidRPr="00B40FB3">
        <w:rPr>
          <w:rFonts w:ascii="Times New Roman" w:hAnsi="Times New Roman" w:cs="Times New Roman"/>
          <w:sz w:val="24"/>
          <w:szCs w:val="24"/>
        </w:rPr>
        <w:t xml:space="preserve"> them with up-to-date knowledge, funds and help so that the </w:t>
      </w:r>
      <w:r w:rsidR="001F2B6B" w:rsidRPr="00B40FB3">
        <w:rPr>
          <w:rFonts w:ascii="Times New Roman" w:hAnsi="Times New Roman" w:cs="Times New Roman"/>
          <w:sz w:val="24"/>
          <w:szCs w:val="24"/>
        </w:rPr>
        <w:t>public interest can be protected</w:t>
      </w:r>
      <w:sdt>
        <w:sdtPr>
          <w:rPr>
            <w:rFonts w:ascii="Times New Roman" w:hAnsi="Times New Roman" w:cs="Times New Roman"/>
            <w:sz w:val="24"/>
            <w:szCs w:val="24"/>
          </w:rPr>
          <w:id w:val="-1875834659"/>
          <w:citation/>
        </w:sdtPr>
        <w:sdtEndPr/>
        <w:sdtContent>
          <w:r w:rsidR="002A364C" w:rsidRPr="00B40F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2A364C" w:rsidRPr="00B40FB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AIC19 \l 1033 </w:instrText>
          </w:r>
          <w:r w:rsidR="002A364C" w:rsidRPr="00B40F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A364C" w:rsidRPr="00B40FB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(AICPA, 2019)</w:t>
          </w:r>
          <w:r w:rsidR="002A364C" w:rsidRPr="00B40F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1F2B6B" w:rsidRPr="00B40FB3">
        <w:rPr>
          <w:rFonts w:ascii="Times New Roman" w:hAnsi="Times New Roman" w:cs="Times New Roman"/>
          <w:sz w:val="24"/>
          <w:szCs w:val="24"/>
        </w:rPr>
        <w:t>.</w:t>
      </w:r>
      <w:r w:rsidR="00E571E5" w:rsidRPr="00B40FB3">
        <w:rPr>
          <w:rFonts w:ascii="Times New Roman" w:hAnsi="Times New Roman" w:cs="Times New Roman"/>
          <w:sz w:val="24"/>
          <w:szCs w:val="24"/>
        </w:rPr>
        <w:t xml:space="preserve"> In terms of advocacy, the organization will protect and promote the interests of professionals as their </w:t>
      </w:r>
      <w:r w:rsidR="00131296" w:rsidRPr="00B40FB3">
        <w:rPr>
          <w:rFonts w:ascii="Times New Roman" w:hAnsi="Times New Roman" w:cs="Times New Roman"/>
          <w:sz w:val="24"/>
          <w:szCs w:val="24"/>
        </w:rPr>
        <w:t xml:space="preserve">national representative in front of </w:t>
      </w:r>
      <w:r w:rsidR="0050075E">
        <w:rPr>
          <w:rFonts w:ascii="Times New Roman" w:hAnsi="Times New Roman" w:cs="Times New Roman"/>
          <w:sz w:val="24"/>
          <w:szCs w:val="24"/>
        </w:rPr>
        <w:t xml:space="preserve">the </w:t>
      </w:r>
      <w:r w:rsidR="00131296" w:rsidRPr="00B40FB3">
        <w:rPr>
          <w:rFonts w:ascii="Times New Roman" w:hAnsi="Times New Roman" w:cs="Times New Roman"/>
          <w:sz w:val="24"/>
          <w:szCs w:val="24"/>
        </w:rPr>
        <w:t>government, regulatory bodies and all other relevant organizations.</w:t>
      </w:r>
      <w:r w:rsidR="00295D57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63029B" w:rsidRPr="00B40FB3">
        <w:rPr>
          <w:rFonts w:ascii="Times New Roman" w:hAnsi="Times New Roman" w:cs="Times New Roman"/>
          <w:sz w:val="24"/>
          <w:szCs w:val="24"/>
        </w:rPr>
        <w:t>The organization also promotes a standardized licensing environment to protect the designation of professionals.</w:t>
      </w:r>
      <w:r w:rsidR="008E268F" w:rsidRPr="00B40FB3">
        <w:rPr>
          <w:rFonts w:ascii="Times New Roman" w:hAnsi="Times New Roman" w:cs="Times New Roman"/>
          <w:sz w:val="24"/>
          <w:szCs w:val="24"/>
        </w:rPr>
        <w:t xml:space="preserve"> Communication takes place to </w:t>
      </w:r>
      <w:r w:rsidR="00224AAF" w:rsidRPr="00B40FB3">
        <w:rPr>
          <w:rFonts w:ascii="Times New Roman" w:hAnsi="Times New Roman" w:cs="Times New Roman"/>
          <w:sz w:val="24"/>
          <w:szCs w:val="24"/>
        </w:rPr>
        <w:t xml:space="preserve">increase public awareness </w:t>
      </w:r>
      <w:r w:rsidR="00F832D7" w:rsidRPr="00B40FB3">
        <w:rPr>
          <w:rFonts w:ascii="Times New Roman" w:hAnsi="Times New Roman" w:cs="Times New Roman"/>
          <w:sz w:val="24"/>
          <w:szCs w:val="24"/>
        </w:rPr>
        <w:t>about the profession</w:t>
      </w:r>
      <w:r w:rsidR="00E8166D" w:rsidRPr="00B40FB3">
        <w:rPr>
          <w:rFonts w:ascii="Times New Roman" w:hAnsi="Times New Roman" w:cs="Times New Roman"/>
          <w:sz w:val="24"/>
          <w:szCs w:val="24"/>
        </w:rPr>
        <w:t xml:space="preserve"> and </w:t>
      </w:r>
      <w:r w:rsidR="00F832D7" w:rsidRPr="00B40FB3">
        <w:rPr>
          <w:rFonts w:ascii="Times New Roman" w:hAnsi="Times New Roman" w:cs="Times New Roman"/>
          <w:sz w:val="24"/>
          <w:szCs w:val="24"/>
        </w:rPr>
        <w:t xml:space="preserve">also act as a link between </w:t>
      </w:r>
      <w:r w:rsidR="00D84255" w:rsidRPr="00B40FB3">
        <w:rPr>
          <w:rFonts w:ascii="Times New Roman" w:hAnsi="Times New Roman" w:cs="Times New Roman"/>
          <w:sz w:val="24"/>
          <w:szCs w:val="24"/>
        </w:rPr>
        <w:t>public and professionals.</w:t>
      </w:r>
      <w:r w:rsidR="00F1573D" w:rsidRPr="00B4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7A200E" w14:textId="77777777" w:rsidR="008F22BC" w:rsidRDefault="008F22BC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2CAA4D" w14:textId="77777777" w:rsidR="008F22BC" w:rsidRDefault="008F22BC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8E377E" w14:textId="77777777" w:rsidR="005749D3" w:rsidRPr="00B40FB3" w:rsidRDefault="005749D3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lastRenderedPageBreak/>
        <w:t>Event</w:t>
      </w:r>
    </w:p>
    <w:p w14:paraId="77F3CFB6" w14:textId="77777777" w:rsidR="002A364C" w:rsidRPr="00B40FB3" w:rsidRDefault="002A364C" w:rsidP="00B40FB3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>Th</w:t>
      </w:r>
      <w:r w:rsidR="003A2809" w:rsidRPr="00B40FB3">
        <w:rPr>
          <w:rFonts w:ascii="Times New Roman" w:hAnsi="Times New Roman" w:cs="Times New Roman"/>
          <w:sz w:val="24"/>
          <w:szCs w:val="24"/>
        </w:rPr>
        <w:t>e issue is related to the AICPA and more specifically to the not-for</w:t>
      </w:r>
      <w:r w:rsidR="00B33E15" w:rsidRPr="00B40FB3">
        <w:rPr>
          <w:rFonts w:ascii="Times New Roman" w:hAnsi="Times New Roman" w:cs="Times New Roman"/>
          <w:sz w:val="24"/>
          <w:szCs w:val="24"/>
        </w:rPr>
        <w:t>-</w:t>
      </w:r>
      <w:r w:rsidR="003A2809" w:rsidRPr="00B40FB3">
        <w:rPr>
          <w:rFonts w:ascii="Times New Roman" w:hAnsi="Times New Roman" w:cs="Times New Roman"/>
          <w:sz w:val="24"/>
          <w:szCs w:val="24"/>
        </w:rPr>
        <w:t xml:space="preserve">profit organizations who will be implementing the new NFP financial statement presentation </w:t>
      </w:r>
      <w:r w:rsidR="006B470F" w:rsidRPr="00B40FB3">
        <w:rPr>
          <w:rFonts w:ascii="Times New Roman" w:hAnsi="Times New Roman" w:cs="Times New Roman"/>
          <w:sz w:val="24"/>
          <w:szCs w:val="24"/>
        </w:rPr>
        <w:t>standard.</w:t>
      </w:r>
      <w:r w:rsidR="00B13ABA" w:rsidRPr="00B40FB3">
        <w:rPr>
          <w:rFonts w:ascii="Times New Roman" w:hAnsi="Times New Roman" w:cs="Times New Roman"/>
          <w:sz w:val="24"/>
          <w:szCs w:val="24"/>
        </w:rPr>
        <w:t xml:space="preserve"> This standard will pose fresh challenges to the staff of these </w:t>
      </w:r>
      <w:r w:rsidR="00C05D21" w:rsidRPr="00B40FB3">
        <w:rPr>
          <w:rFonts w:ascii="Times New Roman" w:hAnsi="Times New Roman" w:cs="Times New Roman"/>
          <w:sz w:val="24"/>
          <w:szCs w:val="24"/>
        </w:rPr>
        <w:t>organizations</w:t>
      </w:r>
      <w:r w:rsidR="00B13ABA" w:rsidRPr="00B40FB3">
        <w:rPr>
          <w:rFonts w:ascii="Times New Roman" w:hAnsi="Times New Roman" w:cs="Times New Roman"/>
          <w:sz w:val="24"/>
          <w:szCs w:val="24"/>
        </w:rPr>
        <w:t xml:space="preserve">. </w:t>
      </w:r>
      <w:r w:rsidR="00C05D21" w:rsidRPr="00B40FB3">
        <w:rPr>
          <w:rFonts w:ascii="Times New Roman" w:hAnsi="Times New Roman" w:cs="Times New Roman"/>
          <w:sz w:val="24"/>
          <w:szCs w:val="24"/>
        </w:rPr>
        <w:t xml:space="preserve">In the </w:t>
      </w:r>
      <w:r w:rsidR="0017196E" w:rsidRPr="00B40FB3">
        <w:rPr>
          <w:rFonts w:ascii="Times New Roman" w:hAnsi="Times New Roman" w:cs="Times New Roman"/>
          <w:sz w:val="24"/>
          <w:szCs w:val="24"/>
        </w:rPr>
        <w:t>lines below, there is an assessment of the new standards and their effects.</w:t>
      </w:r>
    </w:p>
    <w:p w14:paraId="5F746B88" w14:textId="77777777" w:rsidR="0017196E" w:rsidRPr="00B40FB3" w:rsidRDefault="00A63A52" w:rsidP="00B40F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t>Revenue Recognition, grants and Contracts</w:t>
      </w:r>
    </w:p>
    <w:p w14:paraId="104E2856" w14:textId="77777777" w:rsidR="00A63A52" w:rsidRPr="00B40FB3" w:rsidRDefault="00A63A52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  <w:t xml:space="preserve">The new revenue recognition model </w:t>
      </w:r>
      <w:r w:rsidR="00934FB2" w:rsidRPr="00B40FB3">
        <w:rPr>
          <w:rFonts w:ascii="Times New Roman" w:hAnsi="Times New Roman" w:cs="Times New Roman"/>
          <w:sz w:val="24"/>
          <w:szCs w:val="24"/>
        </w:rPr>
        <w:t>takes over a</w:t>
      </w:r>
      <w:r w:rsidR="00F91178" w:rsidRPr="00B40FB3">
        <w:rPr>
          <w:rFonts w:ascii="Times New Roman" w:hAnsi="Times New Roman" w:cs="Times New Roman"/>
          <w:sz w:val="24"/>
          <w:szCs w:val="24"/>
        </w:rPr>
        <w:t xml:space="preserve">ll existing rules governing revenue from exchange transactions. </w:t>
      </w:r>
      <w:r w:rsidR="005630E7" w:rsidRPr="00B40FB3">
        <w:rPr>
          <w:rFonts w:ascii="Times New Roman" w:hAnsi="Times New Roman" w:cs="Times New Roman"/>
          <w:sz w:val="24"/>
          <w:szCs w:val="24"/>
        </w:rPr>
        <w:t xml:space="preserve">All entities which enter into </w:t>
      </w:r>
      <w:r w:rsidR="0050075E">
        <w:rPr>
          <w:rFonts w:ascii="Times New Roman" w:hAnsi="Times New Roman" w:cs="Times New Roman"/>
          <w:sz w:val="24"/>
          <w:szCs w:val="24"/>
        </w:rPr>
        <w:t xml:space="preserve">a </w:t>
      </w:r>
      <w:r w:rsidR="005630E7" w:rsidRPr="00B40FB3">
        <w:rPr>
          <w:rFonts w:ascii="Times New Roman" w:hAnsi="Times New Roman" w:cs="Times New Roman"/>
          <w:sz w:val="24"/>
          <w:szCs w:val="24"/>
        </w:rPr>
        <w:t xml:space="preserve">sales </w:t>
      </w:r>
      <w:r w:rsidR="00B12636" w:rsidRPr="00B40FB3">
        <w:rPr>
          <w:rFonts w:ascii="Times New Roman" w:hAnsi="Times New Roman" w:cs="Times New Roman"/>
          <w:sz w:val="24"/>
          <w:szCs w:val="24"/>
        </w:rPr>
        <w:t xml:space="preserve">contract with customers are affected by it unless these transactions are governed by some other </w:t>
      </w:r>
      <w:r w:rsidR="00324C6E" w:rsidRPr="00B40FB3">
        <w:rPr>
          <w:rFonts w:ascii="Times New Roman" w:hAnsi="Times New Roman" w:cs="Times New Roman"/>
          <w:sz w:val="24"/>
          <w:szCs w:val="24"/>
        </w:rPr>
        <w:t xml:space="preserve">standard. </w:t>
      </w:r>
      <w:r w:rsidR="00FD76C3" w:rsidRPr="00B40FB3">
        <w:rPr>
          <w:rFonts w:ascii="Times New Roman" w:hAnsi="Times New Roman" w:cs="Times New Roman"/>
          <w:sz w:val="24"/>
          <w:szCs w:val="24"/>
        </w:rPr>
        <w:t xml:space="preserve">One major issue faced by the not- for-profit organization is that they will have to </w:t>
      </w:r>
      <w:r w:rsidR="0002475D" w:rsidRPr="00B40FB3">
        <w:rPr>
          <w:rFonts w:ascii="Times New Roman" w:hAnsi="Times New Roman" w:cs="Times New Roman"/>
          <w:sz w:val="24"/>
          <w:szCs w:val="24"/>
        </w:rPr>
        <w:t xml:space="preserve">divide certain transactions between </w:t>
      </w:r>
      <w:r w:rsidR="006204DF" w:rsidRPr="00B40FB3">
        <w:rPr>
          <w:rFonts w:ascii="Times New Roman" w:hAnsi="Times New Roman" w:cs="Times New Roman"/>
          <w:sz w:val="24"/>
          <w:szCs w:val="24"/>
        </w:rPr>
        <w:t>exchange transaction and a contribution because they may have many common elements.</w:t>
      </w:r>
      <w:r w:rsidR="00E33C7C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B410FB" w:rsidRPr="00B40FB3">
        <w:rPr>
          <w:rFonts w:ascii="Times New Roman" w:hAnsi="Times New Roman" w:cs="Times New Roman"/>
          <w:sz w:val="24"/>
          <w:szCs w:val="24"/>
        </w:rPr>
        <w:t xml:space="preserve">The contract terms and specific industry will </w:t>
      </w:r>
      <w:r w:rsidR="00431E7A" w:rsidRPr="00B40FB3">
        <w:rPr>
          <w:rFonts w:ascii="Times New Roman" w:hAnsi="Times New Roman" w:cs="Times New Roman"/>
          <w:sz w:val="24"/>
          <w:szCs w:val="24"/>
        </w:rPr>
        <w:t>define the impact of these changes on any organization.</w:t>
      </w:r>
      <w:r w:rsidR="00C471A9" w:rsidRPr="00B40FB3">
        <w:rPr>
          <w:rFonts w:ascii="Times New Roman" w:hAnsi="Times New Roman" w:cs="Times New Roman"/>
          <w:sz w:val="24"/>
          <w:szCs w:val="24"/>
        </w:rPr>
        <w:t xml:space="preserve"> The contracts with customers</w:t>
      </w:r>
      <w:r w:rsidR="00853301" w:rsidRPr="00B40FB3">
        <w:rPr>
          <w:rFonts w:ascii="Times New Roman" w:hAnsi="Times New Roman" w:cs="Times New Roman"/>
          <w:sz w:val="24"/>
          <w:szCs w:val="24"/>
        </w:rPr>
        <w:t xml:space="preserve"> have to be </w:t>
      </w:r>
      <w:r w:rsidR="00A126A6" w:rsidRPr="00B40FB3">
        <w:rPr>
          <w:rFonts w:ascii="Times New Roman" w:hAnsi="Times New Roman" w:cs="Times New Roman"/>
          <w:sz w:val="24"/>
          <w:szCs w:val="24"/>
        </w:rPr>
        <w:t>disclosed</w:t>
      </w:r>
      <w:r w:rsidR="007A63A0" w:rsidRPr="00B40FB3">
        <w:rPr>
          <w:rFonts w:ascii="Times New Roman" w:hAnsi="Times New Roman" w:cs="Times New Roman"/>
          <w:sz w:val="24"/>
          <w:szCs w:val="24"/>
        </w:rPr>
        <w:t xml:space="preserve"> according to the new requirements.</w:t>
      </w:r>
      <w:r w:rsidR="00794306" w:rsidRPr="00B40FB3">
        <w:rPr>
          <w:rFonts w:ascii="Times New Roman" w:hAnsi="Times New Roman" w:cs="Times New Roman"/>
          <w:sz w:val="24"/>
          <w:szCs w:val="24"/>
        </w:rPr>
        <w:t xml:space="preserve"> The organizations will be most affected </w:t>
      </w:r>
      <w:r w:rsidR="003625EE" w:rsidRPr="00B40FB3">
        <w:rPr>
          <w:rFonts w:ascii="Times New Roman" w:hAnsi="Times New Roman" w:cs="Times New Roman"/>
          <w:sz w:val="24"/>
          <w:szCs w:val="24"/>
        </w:rPr>
        <w:t xml:space="preserve">by these changes </w:t>
      </w:r>
      <w:r w:rsidR="00794306" w:rsidRPr="00B40FB3">
        <w:rPr>
          <w:rFonts w:ascii="Times New Roman" w:hAnsi="Times New Roman" w:cs="Times New Roman"/>
          <w:sz w:val="24"/>
          <w:szCs w:val="24"/>
        </w:rPr>
        <w:t>if they have conduit debt</w:t>
      </w:r>
      <w:r w:rsidR="00B022CC" w:rsidRPr="00B40FB3">
        <w:rPr>
          <w:rFonts w:ascii="Times New Roman" w:hAnsi="Times New Roman" w:cs="Times New Roman"/>
          <w:sz w:val="24"/>
          <w:szCs w:val="24"/>
        </w:rPr>
        <w:t>.</w:t>
      </w:r>
      <w:r w:rsidR="00AE77E0" w:rsidRPr="00B40FB3">
        <w:rPr>
          <w:rFonts w:ascii="Times New Roman" w:hAnsi="Times New Roman" w:cs="Times New Roman"/>
          <w:sz w:val="24"/>
          <w:szCs w:val="24"/>
        </w:rPr>
        <w:t xml:space="preserve"> There is a separate clarification made by the FASB regarding contributions made and received.</w:t>
      </w:r>
      <w:r w:rsidR="00623211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7F0310" w:rsidRPr="00B40FB3">
        <w:rPr>
          <w:rFonts w:ascii="Times New Roman" w:hAnsi="Times New Roman" w:cs="Times New Roman"/>
          <w:sz w:val="24"/>
          <w:szCs w:val="24"/>
        </w:rPr>
        <w:t>There is also a difference stated between donor imposed conditions and donor imposed restrictions on contributions.</w:t>
      </w:r>
      <w:r w:rsidR="00955603" w:rsidRPr="00B40FB3">
        <w:rPr>
          <w:rFonts w:ascii="Times New Roman" w:hAnsi="Times New Roman" w:cs="Times New Roman"/>
          <w:sz w:val="24"/>
          <w:szCs w:val="24"/>
        </w:rPr>
        <w:t xml:space="preserve"> This will affect the income statement and balance </w:t>
      </w:r>
      <w:r w:rsidR="00391962" w:rsidRPr="00B40FB3">
        <w:rPr>
          <w:rFonts w:ascii="Times New Roman" w:hAnsi="Times New Roman" w:cs="Times New Roman"/>
          <w:sz w:val="24"/>
          <w:szCs w:val="24"/>
        </w:rPr>
        <w:t xml:space="preserve">sheet </w:t>
      </w:r>
      <w:r w:rsidR="00A654B4" w:rsidRPr="00B40FB3">
        <w:rPr>
          <w:rFonts w:ascii="Times New Roman" w:hAnsi="Times New Roman" w:cs="Times New Roman"/>
          <w:sz w:val="24"/>
          <w:szCs w:val="24"/>
        </w:rPr>
        <w:t xml:space="preserve">of the company. </w:t>
      </w:r>
    </w:p>
    <w:p w14:paraId="216E1C3F" w14:textId="77777777" w:rsidR="00745E95" w:rsidRPr="00B40FB3" w:rsidRDefault="00745E95" w:rsidP="00B40F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t>Not-for-profit Financial Statement Presentation Standard</w:t>
      </w:r>
    </w:p>
    <w:p w14:paraId="183E6EC9" w14:textId="5966ACA9" w:rsidR="00745E95" w:rsidRPr="00B40FB3" w:rsidRDefault="00745E95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</w:r>
      <w:r w:rsidR="00205744" w:rsidRPr="00B40FB3">
        <w:rPr>
          <w:rFonts w:ascii="Times New Roman" w:hAnsi="Times New Roman" w:cs="Times New Roman"/>
          <w:sz w:val="24"/>
          <w:szCs w:val="24"/>
        </w:rPr>
        <w:t>The biggest challenge faced by the no</w:t>
      </w:r>
      <w:r w:rsidR="00956077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3505EC" w:rsidRPr="00B40FB3">
        <w:rPr>
          <w:rFonts w:ascii="Times New Roman" w:hAnsi="Times New Roman" w:cs="Times New Roman"/>
          <w:sz w:val="24"/>
          <w:szCs w:val="24"/>
        </w:rPr>
        <w:t xml:space="preserve"> profit organizations is to disclose their liquidity under the amended standards.</w:t>
      </w:r>
      <w:r w:rsidR="006B26E4" w:rsidRPr="00B40FB3">
        <w:rPr>
          <w:rFonts w:ascii="Times New Roman" w:hAnsi="Times New Roman" w:cs="Times New Roman"/>
          <w:sz w:val="24"/>
          <w:szCs w:val="24"/>
        </w:rPr>
        <w:t xml:space="preserve"> These organizations have to provide qualitative and quantitative information on their management</w:t>
      </w:r>
      <w:r w:rsidR="00BE1E8C" w:rsidRPr="00B40FB3">
        <w:rPr>
          <w:rFonts w:ascii="Times New Roman" w:hAnsi="Times New Roman" w:cs="Times New Roman"/>
          <w:sz w:val="24"/>
          <w:szCs w:val="24"/>
        </w:rPr>
        <w:t xml:space="preserve"> of liquid resources. Companies have to choose the best possible way of presenting </w:t>
      </w:r>
      <w:r w:rsidR="002572D8" w:rsidRPr="00B40FB3">
        <w:rPr>
          <w:rFonts w:ascii="Times New Roman" w:hAnsi="Times New Roman" w:cs="Times New Roman"/>
          <w:sz w:val="24"/>
          <w:szCs w:val="24"/>
        </w:rPr>
        <w:t xml:space="preserve">this new information. Another challenge may be presented by the </w:t>
      </w:r>
      <w:r w:rsidR="002572D8" w:rsidRPr="00B40FB3">
        <w:rPr>
          <w:rFonts w:ascii="Times New Roman" w:hAnsi="Times New Roman" w:cs="Times New Roman"/>
          <w:sz w:val="24"/>
          <w:szCs w:val="24"/>
        </w:rPr>
        <w:lastRenderedPageBreak/>
        <w:t xml:space="preserve">requirements under functional expense </w:t>
      </w:r>
      <w:r w:rsidR="00406D42" w:rsidRPr="00B40FB3">
        <w:rPr>
          <w:rFonts w:ascii="Times New Roman" w:hAnsi="Times New Roman" w:cs="Times New Roman"/>
          <w:sz w:val="24"/>
          <w:szCs w:val="24"/>
        </w:rPr>
        <w:t>shown in the financial statements.</w:t>
      </w:r>
      <w:r w:rsidR="006B01C5" w:rsidRPr="00B40FB3">
        <w:rPr>
          <w:rFonts w:ascii="Times New Roman" w:hAnsi="Times New Roman" w:cs="Times New Roman"/>
          <w:sz w:val="24"/>
          <w:szCs w:val="24"/>
        </w:rPr>
        <w:t xml:space="preserve"> More attention has to be paid to </w:t>
      </w:r>
      <w:r w:rsidR="00C95695" w:rsidRPr="00B40FB3">
        <w:rPr>
          <w:rFonts w:ascii="Times New Roman" w:hAnsi="Times New Roman" w:cs="Times New Roman"/>
          <w:sz w:val="24"/>
          <w:szCs w:val="24"/>
        </w:rPr>
        <w:t>the way specific expenses have to be shown on financial statements.</w:t>
      </w:r>
      <w:r w:rsidR="00FE2E63" w:rsidRPr="00B40FB3">
        <w:rPr>
          <w:rFonts w:ascii="Times New Roman" w:hAnsi="Times New Roman" w:cs="Times New Roman"/>
          <w:sz w:val="24"/>
          <w:szCs w:val="24"/>
        </w:rPr>
        <w:t xml:space="preserve"> Auditors will have to keep a closer look </w:t>
      </w:r>
      <w:r w:rsidR="0050075E">
        <w:rPr>
          <w:rFonts w:ascii="Times New Roman" w:hAnsi="Times New Roman" w:cs="Times New Roman"/>
          <w:sz w:val="24"/>
          <w:szCs w:val="24"/>
        </w:rPr>
        <w:t>at</w:t>
      </w:r>
      <w:r w:rsidR="00FE2E63" w:rsidRPr="00B40FB3">
        <w:rPr>
          <w:rFonts w:ascii="Times New Roman" w:hAnsi="Times New Roman" w:cs="Times New Roman"/>
          <w:sz w:val="24"/>
          <w:szCs w:val="24"/>
        </w:rPr>
        <w:t xml:space="preserve"> functional </w:t>
      </w:r>
      <w:r w:rsidR="00D06D7D" w:rsidRPr="00B40FB3">
        <w:rPr>
          <w:rFonts w:ascii="Times New Roman" w:hAnsi="Times New Roman" w:cs="Times New Roman"/>
          <w:sz w:val="24"/>
          <w:szCs w:val="24"/>
        </w:rPr>
        <w:t>expenses and their presentation.</w:t>
      </w:r>
      <w:r w:rsidR="00A654B4" w:rsidRPr="00B40FB3">
        <w:rPr>
          <w:rFonts w:ascii="Times New Roman" w:hAnsi="Times New Roman" w:cs="Times New Roman"/>
          <w:sz w:val="24"/>
          <w:szCs w:val="24"/>
        </w:rPr>
        <w:t xml:space="preserve"> Financial statements include income statement, balance sheet, statement of cash flows and statement of owner’s equity.</w:t>
      </w:r>
      <w:r w:rsidR="0054263A" w:rsidRPr="00B40FB3">
        <w:rPr>
          <w:rFonts w:ascii="Times New Roman" w:hAnsi="Times New Roman" w:cs="Times New Roman"/>
          <w:sz w:val="24"/>
          <w:szCs w:val="24"/>
        </w:rPr>
        <w:t xml:space="preserve"> This change will </w:t>
      </w:r>
      <w:r w:rsidR="002F1CC7" w:rsidRPr="00B40FB3">
        <w:rPr>
          <w:rFonts w:ascii="Times New Roman" w:hAnsi="Times New Roman" w:cs="Times New Roman"/>
          <w:sz w:val="24"/>
          <w:szCs w:val="24"/>
        </w:rPr>
        <w:t>affect all these statements and their presentation method.</w:t>
      </w:r>
    </w:p>
    <w:p w14:paraId="2E2CDCF4" w14:textId="77777777" w:rsidR="00D06D7D" w:rsidRPr="00B40FB3" w:rsidRDefault="00D06D7D" w:rsidP="00B40F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t>2017 Tax cuts and job Acts provisions affecting Tax exempt NFPs</w:t>
      </w:r>
    </w:p>
    <w:p w14:paraId="0A253E82" w14:textId="77777777" w:rsidR="00D06D7D" w:rsidRPr="00B40FB3" w:rsidRDefault="00D06D7D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</w:r>
      <w:r w:rsidR="00BF530C" w:rsidRPr="00B40FB3">
        <w:rPr>
          <w:rFonts w:ascii="Times New Roman" w:hAnsi="Times New Roman" w:cs="Times New Roman"/>
          <w:sz w:val="24"/>
          <w:szCs w:val="24"/>
        </w:rPr>
        <w:t xml:space="preserve">There are two major considerations regarding this change, charitable giving and unrelated business income tax. </w:t>
      </w:r>
      <w:r w:rsidR="00D67A8E" w:rsidRPr="00B40FB3">
        <w:rPr>
          <w:rFonts w:ascii="Times New Roman" w:hAnsi="Times New Roman" w:cs="Times New Roman"/>
          <w:sz w:val="24"/>
          <w:szCs w:val="24"/>
        </w:rPr>
        <w:t>A new tax has been imposed on the NFPs at the</w:t>
      </w:r>
      <w:r w:rsidR="00313A9E" w:rsidRPr="00B40FB3">
        <w:rPr>
          <w:rFonts w:ascii="Times New Roman" w:hAnsi="Times New Roman" w:cs="Times New Roman"/>
          <w:sz w:val="24"/>
          <w:szCs w:val="24"/>
        </w:rPr>
        <w:t xml:space="preserve"> current income tax rate of 21%. This tax is imposed on qualified</w:t>
      </w:r>
      <w:r w:rsidR="00EB420F" w:rsidRPr="00B40FB3">
        <w:rPr>
          <w:rFonts w:ascii="Times New Roman" w:hAnsi="Times New Roman" w:cs="Times New Roman"/>
          <w:sz w:val="24"/>
          <w:szCs w:val="24"/>
        </w:rPr>
        <w:t xml:space="preserve"> transport benefits and expenses in relation to specified parking.</w:t>
      </w:r>
      <w:r w:rsidR="00687627" w:rsidRPr="00B40FB3">
        <w:rPr>
          <w:rFonts w:ascii="Times New Roman" w:hAnsi="Times New Roman" w:cs="Times New Roman"/>
          <w:sz w:val="24"/>
          <w:szCs w:val="24"/>
        </w:rPr>
        <w:t xml:space="preserve"> There is a separate treatment for organizations having more than one business activities.</w:t>
      </w:r>
      <w:r w:rsidR="00E212AC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066CB1" w:rsidRPr="00B40FB3">
        <w:rPr>
          <w:rFonts w:ascii="Times New Roman" w:hAnsi="Times New Roman" w:cs="Times New Roman"/>
          <w:sz w:val="24"/>
          <w:szCs w:val="24"/>
        </w:rPr>
        <w:t xml:space="preserve">New rules state that </w:t>
      </w:r>
      <w:r w:rsidR="004A5A64" w:rsidRPr="00B40FB3">
        <w:rPr>
          <w:rFonts w:ascii="Times New Roman" w:hAnsi="Times New Roman" w:cs="Times New Roman"/>
          <w:sz w:val="24"/>
          <w:szCs w:val="24"/>
        </w:rPr>
        <w:t xml:space="preserve">a loss from an unrelated business cannot be offset against </w:t>
      </w:r>
      <w:r w:rsidR="00066CB1" w:rsidRPr="00B40FB3">
        <w:rPr>
          <w:rFonts w:ascii="Times New Roman" w:hAnsi="Times New Roman" w:cs="Times New Roman"/>
          <w:sz w:val="24"/>
          <w:szCs w:val="24"/>
        </w:rPr>
        <w:t>the profits</w:t>
      </w:r>
      <w:r w:rsidR="00E00980" w:rsidRPr="00B40FB3">
        <w:rPr>
          <w:rFonts w:ascii="Times New Roman" w:hAnsi="Times New Roman" w:cs="Times New Roman"/>
          <w:sz w:val="24"/>
          <w:szCs w:val="24"/>
        </w:rPr>
        <w:t xml:space="preserve"> of other entities.</w:t>
      </w:r>
      <w:r w:rsidR="00066CB1" w:rsidRPr="00B4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DBA7BD" w14:textId="77777777" w:rsidR="00641D68" w:rsidRPr="00B40FB3" w:rsidRDefault="00641D68" w:rsidP="00B40FB3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t xml:space="preserve">Cyber </w:t>
      </w:r>
      <w:r w:rsidR="00BF3E98" w:rsidRPr="00B40FB3">
        <w:rPr>
          <w:rFonts w:ascii="Times New Roman" w:hAnsi="Times New Roman" w:cs="Times New Roman"/>
          <w:b/>
          <w:sz w:val="24"/>
          <w:szCs w:val="24"/>
        </w:rPr>
        <w:t>Security</w:t>
      </w:r>
      <w:r w:rsidRPr="00B40FB3">
        <w:rPr>
          <w:rFonts w:ascii="Times New Roman" w:hAnsi="Times New Roman" w:cs="Times New Roman"/>
          <w:b/>
          <w:sz w:val="24"/>
          <w:szCs w:val="24"/>
        </w:rPr>
        <w:t xml:space="preserve"> issues </w:t>
      </w:r>
      <w:r w:rsidR="00BF3E98" w:rsidRPr="00B40FB3">
        <w:rPr>
          <w:rFonts w:ascii="Times New Roman" w:hAnsi="Times New Roman" w:cs="Times New Roman"/>
          <w:b/>
          <w:sz w:val="24"/>
          <w:szCs w:val="24"/>
        </w:rPr>
        <w:t>for Not</w:t>
      </w:r>
      <w:r w:rsidRPr="00B40FB3">
        <w:rPr>
          <w:rFonts w:ascii="Times New Roman" w:hAnsi="Times New Roman" w:cs="Times New Roman"/>
          <w:b/>
          <w:sz w:val="24"/>
          <w:szCs w:val="24"/>
        </w:rPr>
        <w:t xml:space="preserve">-for-profit </w:t>
      </w:r>
      <w:r w:rsidR="00BF3E98" w:rsidRPr="00B40FB3">
        <w:rPr>
          <w:rFonts w:ascii="Times New Roman" w:hAnsi="Times New Roman" w:cs="Times New Roman"/>
          <w:b/>
          <w:sz w:val="24"/>
          <w:szCs w:val="24"/>
        </w:rPr>
        <w:t>organizations</w:t>
      </w:r>
    </w:p>
    <w:p w14:paraId="72BEE56F" w14:textId="77777777" w:rsidR="00BF3E98" w:rsidRPr="00B40FB3" w:rsidRDefault="00BF3E98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  <w:t>Regardless of the type of business undertaken by an organization, its size and industry in which it is working,</w:t>
      </w:r>
      <w:r w:rsidR="006B1C63" w:rsidRPr="00B40FB3">
        <w:rPr>
          <w:rFonts w:ascii="Times New Roman" w:hAnsi="Times New Roman" w:cs="Times New Roman"/>
          <w:sz w:val="24"/>
          <w:szCs w:val="24"/>
        </w:rPr>
        <w:t xml:space="preserve"> cyber security is an issue that is </w:t>
      </w:r>
      <w:r w:rsidR="00891783" w:rsidRPr="00B40FB3">
        <w:rPr>
          <w:rFonts w:ascii="Times New Roman" w:hAnsi="Times New Roman" w:cs="Times New Roman"/>
          <w:sz w:val="24"/>
          <w:szCs w:val="24"/>
        </w:rPr>
        <w:t xml:space="preserve">relevant to almost every organization. </w:t>
      </w:r>
      <w:r w:rsidR="00E4141A" w:rsidRPr="00B40FB3">
        <w:rPr>
          <w:rFonts w:ascii="Times New Roman" w:hAnsi="Times New Roman" w:cs="Times New Roman"/>
          <w:sz w:val="24"/>
          <w:szCs w:val="24"/>
        </w:rPr>
        <w:t>There is a significant amount of data handled by the NFPs and they are vulnerable to attacks on that data.</w:t>
      </w:r>
      <w:r w:rsidR="008A0D21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0B4126" w:rsidRPr="00B40FB3">
        <w:rPr>
          <w:rFonts w:ascii="Times New Roman" w:hAnsi="Times New Roman" w:cs="Times New Roman"/>
          <w:sz w:val="24"/>
          <w:szCs w:val="24"/>
        </w:rPr>
        <w:t xml:space="preserve">These organizations must have proper ways to save their data so that </w:t>
      </w:r>
      <w:r w:rsidR="0050075E">
        <w:rPr>
          <w:rFonts w:ascii="Times New Roman" w:hAnsi="Times New Roman" w:cs="Times New Roman"/>
          <w:sz w:val="24"/>
          <w:szCs w:val="24"/>
        </w:rPr>
        <w:t xml:space="preserve">the </w:t>
      </w:r>
      <w:r w:rsidR="00862F41" w:rsidRPr="00B40FB3">
        <w:rPr>
          <w:rFonts w:ascii="Times New Roman" w:hAnsi="Times New Roman" w:cs="Times New Roman"/>
          <w:sz w:val="24"/>
          <w:szCs w:val="24"/>
        </w:rPr>
        <w:t>trust of customers remains intact</w:t>
      </w:r>
      <w:sdt>
        <w:sdtPr>
          <w:rPr>
            <w:rFonts w:ascii="Times New Roman" w:hAnsi="Times New Roman" w:cs="Times New Roman"/>
            <w:sz w:val="24"/>
            <w:szCs w:val="24"/>
          </w:rPr>
          <w:id w:val="-1920702224"/>
          <w:citation/>
        </w:sdtPr>
        <w:sdtEndPr/>
        <w:sdtContent>
          <w:r w:rsidR="008A460E" w:rsidRPr="00B40FB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8A460E" w:rsidRPr="00B40FB3">
            <w:rPr>
              <w:rFonts w:ascii="Times New Roman" w:hAnsi="Times New Roman" w:cs="Times New Roman"/>
              <w:sz w:val="24"/>
              <w:szCs w:val="24"/>
              <w:lang w:val="en-US"/>
            </w:rPr>
            <w:instrText xml:space="preserve"> CITATION AIC191 \l 1033 </w:instrText>
          </w:r>
          <w:r w:rsidR="008A460E" w:rsidRPr="00B40FB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8A460E" w:rsidRPr="00B40FB3">
            <w:rPr>
              <w:rFonts w:ascii="Times New Roman" w:hAnsi="Times New Roman" w:cs="Times New Roman"/>
              <w:noProof/>
              <w:sz w:val="24"/>
              <w:szCs w:val="24"/>
              <w:lang w:val="en-US"/>
            </w:rPr>
            <w:t xml:space="preserve"> (AICPA, 2019)</w:t>
          </w:r>
          <w:r w:rsidR="008A460E" w:rsidRPr="00B40FB3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sdtContent>
      </w:sdt>
      <w:r w:rsidR="00862F41" w:rsidRPr="00B40FB3">
        <w:rPr>
          <w:rFonts w:ascii="Times New Roman" w:hAnsi="Times New Roman" w:cs="Times New Roman"/>
          <w:sz w:val="24"/>
          <w:szCs w:val="24"/>
        </w:rPr>
        <w:t xml:space="preserve">. </w:t>
      </w:r>
      <w:r w:rsidR="009B7DBC" w:rsidRPr="00B4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4C31F" w14:textId="77777777" w:rsidR="00427A59" w:rsidRPr="00B40FB3" w:rsidRDefault="00427A59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  <w:t xml:space="preserve">There is an important role played by various professionals as a result of the above changes. The </w:t>
      </w:r>
      <w:r w:rsidR="00C61394" w:rsidRPr="00B40FB3">
        <w:rPr>
          <w:rFonts w:ascii="Times New Roman" w:hAnsi="Times New Roman" w:cs="Times New Roman"/>
          <w:sz w:val="24"/>
          <w:szCs w:val="24"/>
        </w:rPr>
        <w:t xml:space="preserve">auditors will have their work increased because they will have to check if these changes have been properly incorporated. </w:t>
      </w:r>
      <w:r w:rsidR="009276EA" w:rsidRPr="00B40FB3">
        <w:rPr>
          <w:rFonts w:ascii="Times New Roman" w:hAnsi="Times New Roman" w:cs="Times New Roman"/>
          <w:sz w:val="24"/>
          <w:szCs w:val="24"/>
        </w:rPr>
        <w:t xml:space="preserve">The last change will </w:t>
      </w:r>
      <w:r w:rsidR="00DA7E7F" w:rsidRPr="00B40FB3">
        <w:rPr>
          <w:rFonts w:ascii="Times New Roman" w:hAnsi="Times New Roman" w:cs="Times New Roman"/>
          <w:sz w:val="24"/>
          <w:szCs w:val="24"/>
        </w:rPr>
        <w:t xml:space="preserve">also involve tax practitioners </w:t>
      </w:r>
      <w:r w:rsidR="004220E8" w:rsidRPr="00B40FB3">
        <w:rPr>
          <w:rFonts w:ascii="Times New Roman" w:hAnsi="Times New Roman" w:cs="Times New Roman"/>
          <w:sz w:val="24"/>
          <w:szCs w:val="24"/>
        </w:rPr>
        <w:t xml:space="preserve">so that they assess the impact of this change. </w:t>
      </w:r>
      <w:r w:rsidR="00FA37A7" w:rsidRPr="00B40F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6E300A" w14:textId="77777777" w:rsidR="005810D5" w:rsidRPr="00B40FB3" w:rsidRDefault="005810D5" w:rsidP="00B40FB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FB3">
        <w:rPr>
          <w:rFonts w:ascii="Times New Roman" w:hAnsi="Times New Roman" w:cs="Times New Roman"/>
          <w:b/>
          <w:sz w:val="24"/>
          <w:szCs w:val="24"/>
        </w:rPr>
        <w:lastRenderedPageBreak/>
        <w:t>Summary</w:t>
      </w:r>
    </w:p>
    <w:p w14:paraId="3035B6D1" w14:textId="77777777" w:rsidR="001B4739" w:rsidRDefault="005810D5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  <w:t>Both the above organizations have different domains to work in but there are some common aspects as well.</w:t>
      </w:r>
      <w:r w:rsidR="003E744B" w:rsidRPr="00B40FB3">
        <w:rPr>
          <w:rFonts w:ascii="Times New Roman" w:hAnsi="Times New Roman" w:cs="Times New Roman"/>
          <w:sz w:val="24"/>
          <w:szCs w:val="24"/>
        </w:rPr>
        <w:t xml:space="preserve"> AICPA registers and </w:t>
      </w:r>
      <w:r w:rsidR="006B2593" w:rsidRPr="00B40FB3">
        <w:rPr>
          <w:rFonts w:ascii="Times New Roman" w:hAnsi="Times New Roman" w:cs="Times New Roman"/>
          <w:sz w:val="24"/>
          <w:szCs w:val="24"/>
        </w:rPr>
        <w:t xml:space="preserve">oversees the CPAs who have to do their work by using the </w:t>
      </w:r>
      <w:r w:rsidR="002362D8" w:rsidRPr="00B40FB3">
        <w:rPr>
          <w:rFonts w:ascii="Times New Roman" w:hAnsi="Times New Roman" w:cs="Times New Roman"/>
          <w:sz w:val="24"/>
          <w:szCs w:val="24"/>
        </w:rPr>
        <w:t>standards set by the SEC. Th</w:t>
      </w:r>
      <w:r w:rsidR="00460694" w:rsidRPr="00B40FB3">
        <w:rPr>
          <w:rFonts w:ascii="Times New Roman" w:hAnsi="Times New Roman" w:cs="Times New Roman"/>
          <w:sz w:val="24"/>
          <w:szCs w:val="24"/>
        </w:rPr>
        <w:t xml:space="preserve">us there is a clear connection between these two organizations. We have analysed a suggested update of </w:t>
      </w:r>
      <w:r w:rsidR="0050075E">
        <w:rPr>
          <w:rFonts w:ascii="Times New Roman" w:hAnsi="Times New Roman" w:cs="Times New Roman"/>
          <w:sz w:val="24"/>
          <w:szCs w:val="24"/>
        </w:rPr>
        <w:t xml:space="preserve">the </w:t>
      </w:r>
      <w:r w:rsidR="00EE6138" w:rsidRPr="00B40FB3">
        <w:rPr>
          <w:rFonts w:ascii="Times New Roman" w:hAnsi="Times New Roman" w:cs="Times New Roman"/>
          <w:sz w:val="24"/>
          <w:szCs w:val="24"/>
        </w:rPr>
        <w:t xml:space="preserve">presentation of information in the financial statements. </w:t>
      </w:r>
      <w:r w:rsidR="00D22E06" w:rsidRPr="00B40FB3">
        <w:rPr>
          <w:rFonts w:ascii="Times New Roman" w:hAnsi="Times New Roman" w:cs="Times New Roman"/>
          <w:sz w:val="24"/>
          <w:szCs w:val="24"/>
        </w:rPr>
        <w:t xml:space="preserve"> This situation involves int</w:t>
      </w:r>
      <w:r w:rsidR="00F918D4" w:rsidRPr="00B40FB3">
        <w:rPr>
          <w:rFonts w:ascii="Times New Roman" w:hAnsi="Times New Roman" w:cs="Times New Roman"/>
          <w:sz w:val="24"/>
          <w:szCs w:val="24"/>
        </w:rPr>
        <w:t>ernal auditors, tax consultants</w:t>
      </w:r>
      <w:r w:rsidR="00D22E06" w:rsidRPr="00B40FB3">
        <w:rPr>
          <w:rFonts w:ascii="Times New Roman" w:hAnsi="Times New Roman" w:cs="Times New Roman"/>
          <w:sz w:val="24"/>
          <w:szCs w:val="24"/>
        </w:rPr>
        <w:t xml:space="preserve"> </w:t>
      </w:r>
      <w:r w:rsidR="00F918D4" w:rsidRPr="00B40FB3">
        <w:rPr>
          <w:rFonts w:ascii="Times New Roman" w:hAnsi="Times New Roman" w:cs="Times New Roman"/>
          <w:sz w:val="24"/>
          <w:szCs w:val="24"/>
        </w:rPr>
        <w:t xml:space="preserve">and financial statement preparers. </w:t>
      </w:r>
      <w:r w:rsidR="00CA5CE4" w:rsidRPr="00B40FB3">
        <w:rPr>
          <w:rFonts w:ascii="Times New Roman" w:hAnsi="Times New Roman" w:cs="Times New Roman"/>
          <w:sz w:val="24"/>
          <w:szCs w:val="24"/>
        </w:rPr>
        <w:t xml:space="preserve"> This amendment will affect almost all the financial statements prepared by companies which will increase the duties </w:t>
      </w:r>
      <w:r w:rsidR="00877036" w:rsidRPr="00B40FB3">
        <w:rPr>
          <w:rFonts w:ascii="Times New Roman" w:hAnsi="Times New Roman" w:cs="Times New Roman"/>
          <w:sz w:val="24"/>
          <w:szCs w:val="24"/>
        </w:rPr>
        <w:t xml:space="preserve">of all concerned authorities because they have to verify whether these amendments have been </w:t>
      </w:r>
      <w:r w:rsidR="001A70D8" w:rsidRPr="00B40FB3">
        <w:rPr>
          <w:rFonts w:ascii="Times New Roman" w:hAnsi="Times New Roman" w:cs="Times New Roman"/>
          <w:sz w:val="24"/>
          <w:szCs w:val="24"/>
        </w:rPr>
        <w:t xml:space="preserve">correctly </w:t>
      </w:r>
      <w:r w:rsidR="00264700" w:rsidRPr="00B40FB3">
        <w:rPr>
          <w:rFonts w:ascii="Times New Roman" w:hAnsi="Times New Roman" w:cs="Times New Roman"/>
          <w:sz w:val="24"/>
          <w:szCs w:val="24"/>
        </w:rPr>
        <w:t>incorporated in latest financial statements.</w:t>
      </w:r>
    </w:p>
    <w:p w14:paraId="17B338D5" w14:textId="77777777" w:rsidR="001B4739" w:rsidRDefault="001B4739" w:rsidP="001B473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595608013"/>
        <w:docPartObj>
          <w:docPartGallery w:val="Bibliographies"/>
          <w:docPartUnique/>
        </w:docPartObj>
      </w:sdtPr>
      <w:sdtEndPr/>
      <w:sdtContent>
        <w:p w14:paraId="5198131A" w14:textId="77777777" w:rsidR="001B4739" w:rsidRPr="001B4739" w:rsidRDefault="001B4739" w:rsidP="001B4739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1B4739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References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5221B079" w14:textId="77777777" w:rsidR="001B4739" w:rsidRPr="001B4739" w:rsidRDefault="001B4739" w:rsidP="001B4739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B4739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1B4739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1B4739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1B473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AICPA. (2019). </w:t>
              </w:r>
              <w:r w:rsidRPr="001B473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https://www.aicpa.org/about/missionandhistory.html.</w:t>
              </w:r>
              <w:r w:rsidRPr="001B473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https://www.aicpa.org: https://www.aicpa.org/about/missionandhistory.html</w:t>
              </w:r>
            </w:p>
            <w:p w14:paraId="717BFE9A" w14:textId="77777777" w:rsidR="001B4739" w:rsidRPr="001B4739" w:rsidRDefault="001B4739" w:rsidP="001B4739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B473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AICPA. (2019, April 18). </w:t>
              </w:r>
              <w:r w:rsidRPr="001B473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https://www.aicpa.org/interestareas/notforprofit/resources/financialaccounting/top-issues-for-not-for-profits-this-year.html.</w:t>
              </w:r>
              <w:r w:rsidRPr="001B473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https://www.aicpa.org: https://www.aicpa.org/interestareas/notforprofit/resources/financialaccounting/top-issues-for-not-for-profits-this-year.html</w:t>
              </w:r>
            </w:p>
            <w:p w14:paraId="3CE34252" w14:textId="77777777" w:rsidR="001B4739" w:rsidRPr="001B4739" w:rsidRDefault="001B4739" w:rsidP="001B4739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1B473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Investor.gov. (2019). </w:t>
              </w:r>
              <w:r w:rsidRPr="001B4739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https://www.investor.gov/introduction-investing/basics/role-sec.</w:t>
              </w:r>
              <w:r w:rsidRPr="001B4739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 Retrieved from https://www.investor.gov: https://www.investor.gov/introduction-investing/basics/role-sec</w:t>
              </w:r>
            </w:p>
            <w:p w14:paraId="75741EAD" w14:textId="77777777" w:rsidR="001B4739" w:rsidRDefault="001B4739" w:rsidP="001B4739">
              <w:pPr>
                <w:spacing w:line="480" w:lineRule="auto"/>
              </w:pPr>
              <w:r w:rsidRPr="001B4739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02C9B95B" w14:textId="77777777" w:rsidR="00066CB1" w:rsidRPr="00B40FB3" w:rsidRDefault="00066CB1" w:rsidP="00B40FB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40FB3">
        <w:rPr>
          <w:rFonts w:ascii="Times New Roman" w:hAnsi="Times New Roman" w:cs="Times New Roman"/>
          <w:sz w:val="24"/>
          <w:szCs w:val="24"/>
        </w:rPr>
        <w:tab/>
      </w:r>
    </w:p>
    <w:sectPr w:rsidR="00066CB1" w:rsidRPr="00B40FB3" w:rsidSect="005749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C9C31" w14:textId="77777777" w:rsidR="005374B8" w:rsidRDefault="005374B8" w:rsidP="005749D3">
      <w:pPr>
        <w:spacing w:after="0" w:line="240" w:lineRule="auto"/>
      </w:pPr>
      <w:r>
        <w:separator/>
      </w:r>
    </w:p>
  </w:endnote>
  <w:endnote w:type="continuationSeparator" w:id="0">
    <w:p w14:paraId="67FC2440" w14:textId="77777777" w:rsidR="005374B8" w:rsidRDefault="005374B8" w:rsidP="00574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E8F0" w14:textId="77777777" w:rsidR="00B40FB3" w:rsidRDefault="00B40F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F8466" w14:textId="77777777" w:rsidR="00B40FB3" w:rsidRDefault="00B40F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68863" w14:textId="77777777" w:rsidR="00B40FB3" w:rsidRDefault="00B40F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C644B" w14:textId="77777777" w:rsidR="005374B8" w:rsidRDefault="005374B8" w:rsidP="005749D3">
      <w:pPr>
        <w:spacing w:after="0" w:line="240" w:lineRule="auto"/>
      </w:pPr>
      <w:r>
        <w:separator/>
      </w:r>
    </w:p>
  </w:footnote>
  <w:footnote w:type="continuationSeparator" w:id="0">
    <w:p w14:paraId="7AD035DD" w14:textId="77777777" w:rsidR="005374B8" w:rsidRDefault="005374B8" w:rsidP="00574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9261" w14:textId="77777777" w:rsidR="00B40FB3" w:rsidRDefault="00B40F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86291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B35B56" w14:textId="77777777" w:rsidR="00B40FB3" w:rsidRDefault="00B40F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5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AC3F358" w14:textId="77777777" w:rsidR="005749D3" w:rsidRPr="00D43BDF" w:rsidRDefault="00B40FB3">
    <w:pPr>
      <w:pStyle w:val="Header"/>
      <w:rPr>
        <w:rFonts w:ascii="Times New Roman" w:hAnsi="Times New Roman" w:cs="Times New Roman"/>
        <w:sz w:val="24"/>
      </w:rPr>
    </w:pPr>
    <w:r w:rsidRPr="00D43BDF">
      <w:rPr>
        <w:rFonts w:ascii="Times New Roman" w:hAnsi="Times New Roman" w:cs="Times New Roman"/>
        <w:sz w:val="24"/>
      </w:rPr>
      <w:t>FINANCE ASSIGNMENT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91242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88BB124" w14:textId="77777777" w:rsidR="005749D3" w:rsidRDefault="005749D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075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17924A" w14:textId="77777777" w:rsidR="005749D3" w:rsidRPr="00760FA0" w:rsidRDefault="00760FA0">
    <w:pPr>
      <w:pStyle w:val="Header"/>
      <w:rPr>
        <w:rFonts w:ascii="Times New Roman" w:hAnsi="Times New Roman" w:cs="Times New Roman"/>
        <w:sz w:val="24"/>
      </w:rPr>
    </w:pPr>
    <w:r w:rsidRPr="00760FA0">
      <w:rPr>
        <w:rFonts w:ascii="Times New Roman" w:hAnsi="Times New Roman" w:cs="Times New Roman"/>
        <w:sz w:val="24"/>
      </w:rPr>
      <w:t>Running Head: FINANCE ASSIGNMENT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ztDQyMDG3MDazMDFV0lEKTi0uzszPAykwqgUAbcamXSwAAAA="/>
  </w:docVars>
  <w:rsids>
    <w:rsidRoot w:val="00687C73"/>
    <w:rsid w:val="0002475D"/>
    <w:rsid w:val="00053B19"/>
    <w:rsid w:val="00066CB1"/>
    <w:rsid w:val="00097117"/>
    <w:rsid w:val="000978FB"/>
    <w:rsid w:val="000B4126"/>
    <w:rsid w:val="000B6FB4"/>
    <w:rsid w:val="00120820"/>
    <w:rsid w:val="00122D63"/>
    <w:rsid w:val="00123E00"/>
    <w:rsid w:val="00131296"/>
    <w:rsid w:val="0017196E"/>
    <w:rsid w:val="001A70D8"/>
    <w:rsid w:val="001B0602"/>
    <w:rsid w:val="001B4739"/>
    <w:rsid w:val="001F2B6B"/>
    <w:rsid w:val="002031DE"/>
    <w:rsid w:val="00205744"/>
    <w:rsid w:val="00224AAF"/>
    <w:rsid w:val="00227479"/>
    <w:rsid w:val="002362D8"/>
    <w:rsid w:val="002572D8"/>
    <w:rsid w:val="00264700"/>
    <w:rsid w:val="00295D57"/>
    <w:rsid w:val="002A364C"/>
    <w:rsid w:val="002D5464"/>
    <w:rsid w:val="002F1CC7"/>
    <w:rsid w:val="00313A9E"/>
    <w:rsid w:val="00324C6E"/>
    <w:rsid w:val="003505EC"/>
    <w:rsid w:val="003507DC"/>
    <w:rsid w:val="003625EE"/>
    <w:rsid w:val="00391962"/>
    <w:rsid w:val="003A2809"/>
    <w:rsid w:val="003E744B"/>
    <w:rsid w:val="00406D42"/>
    <w:rsid w:val="004220E8"/>
    <w:rsid w:val="00424383"/>
    <w:rsid w:val="00427A59"/>
    <w:rsid w:val="00431E7A"/>
    <w:rsid w:val="00460694"/>
    <w:rsid w:val="004A5A64"/>
    <w:rsid w:val="0050075E"/>
    <w:rsid w:val="005374B8"/>
    <w:rsid w:val="0054263A"/>
    <w:rsid w:val="005476ED"/>
    <w:rsid w:val="005630E7"/>
    <w:rsid w:val="00566273"/>
    <w:rsid w:val="005749D3"/>
    <w:rsid w:val="005810D5"/>
    <w:rsid w:val="005B7401"/>
    <w:rsid w:val="0060000C"/>
    <w:rsid w:val="006204DF"/>
    <w:rsid w:val="00623211"/>
    <w:rsid w:val="0063029B"/>
    <w:rsid w:val="00641D68"/>
    <w:rsid w:val="00642451"/>
    <w:rsid w:val="00687627"/>
    <w:rsid w:val="00687C73"/>
    <w:rsid w:val="006B01C5"/>
    <w:rsid w:val="006B1C63"/>
    <w:rsid w:val="006B2593"/>
    <w:rsid w:val="006B26E4"/>
    <w:rsid w:val="006B470F"/>
    <w:rsid w:val="0071496C"/>
    <w:rsid w:val="007314E5"/>
    <w:rsid w:val="00745E95"/>
    <w:rsid w:val="00760FA0"/>
    <w:rsid w:val="00794306"/>
    <w:rsid w:val="007A63A0"/>
    <w:rsid w:val="007F0045"/>
    <w:rsid w:val="007F0310"/>
    <w:rsid w:val="007F1B8C"/>
    <w:rsid w:val="00853301"/>
    <w:rsid w:val="00862F41"/>
    <w:rsid w:val="00877036"/>
    <w:rsid w:val="00891783"/>
    <w:rsid w:val="008A0D21"/>
    <w:rsid w:val="008A460E"/>
    <w:rsid w:val="008B0A12"/>
    <w:rsid w:val="008E268F"/>
    <w:rsid w:val="008F22BC"/>
    <w:rsid w:val="009276EA"/>
    <w:rsid w:val="00934FB2"/>
    <w:rsid w:val="00955603"/>
    <w:rsid w:val="00956077"/>
    <w:rsid w:val="009A477D"/>
    <w:rsid w:val="009B7DBC"/>
    <w:rsid w:val="00A126A6"/>
    <w:rsid w:val="00A22717"/>
    <w:rsid w:val="00A63A52"/>
    <w:rsid w:val="00A654B4"/>
    <w:rsid w:val="00AE2711"/>
    <w:rsid w:val="00AE77E0"/>
    <w:rsid w:val="00B022CC"/>
    <w:rsid w:val="00B035BB"/>
    <w:rsid w:val="00B12636"/>
    <w:rsid w:val="00B13ABA"/>
    <w:rsid w:val="00B31B30"/>
    <w:rsid w:val="00B33E15"/>
    <w:rsid w:val="00B40FB3"/>
    <w:rsid w:val="00B410FB"/>
    <w:rsid w:val="00B444D1"/>
    <w:rsid w:val="00BE1E8C"/>
    <w:rsid w:val="00BF3E98"/>
    <w:rsid w:val="00BF530C"/>
    <w:rsid w:val="00C05D21"/>
    <w:rsid w:val="00C20D66"/>
    <w:rsid w:val="00C471A9"/>
    <w:rsid w:val="00C61394"/>
    <w:rsid w:val="00C95695"/>
    <w:rsid w:val="00CA5CE4"/>
    <w:rsid w:val="00CC6A71"/>
    <w:rsid w:val="00CD4E8C"/>
    <w:rsid w:val="00D02911"/>
    <w:rsid w:val="00D06D7D"/>
    <w:rsid w:val="00D22E06"/>
    <w:rsid w:val="00D43BDF"/>
    <w:rsid w:val="00D47D6B"/>
    <w:rsid w:val="00D67A8E"/>
    <w:rsid w:val="00D84255"/>
    <w:rsid w:val="00DA61F9"/>
    <w:rsid w:val="00DA7E7F"/>
    <w:rsid w:val="00DB0957"/>
    <w:rsid w:val="00E00980"/>
    <w:rsid w:val="00E212AC"/>
    <w:rsid w:val="00E33C7C"/>
    <w:rsid w:val="00E4141A"/>
    <w:rsid w:val="00E571E5"/>
    <w:rsid w:val="00E8166D"/>
    <w:rsid w:val="00E929F7"/>
    <w:rsid w:val="00EB420F"/>
    <w:rsid w:val="00EE1E55"/>
    <w:rsid w:val="00EE6138"/>
    <w:rsid w:val="00F1573D"/>
    <w:rsid w:val="00F832D7"/>
    <w:rsid w:val="00F91178"/>
    <w:rsid w:val="00F918D4"/>
    <w:rsid w:val="00FA37A7"/>
    <w:rsid w:val="00FD76C3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FBCD"/>
  <w15:chartTrackingRefBased/>
  <w15:docId w15:val="{F3F1081F-2378-46F2-99F0-D6275BECF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7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D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74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D3"/>
    <w:rPr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1B47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1B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Inv191</b:Tag>
    <b:SourceType>DocumentFromInternetSite</b:SourceType>
    <b:Guid>{DAB7E4C2-1528-41C9-BC58-CE1D372B59ED}</b:Guid>
    <b:Title>https://www.investor.gov/introduction-investing/basics/role-sec</b:Title>
    <b:Year>2019</b:Year>
    <b:Author>
      <b:Author>
        <b:Corporate>Investor.gov</b:Corporate>
      </b:Author>
    </b:Author>
    <b:InternetSiteTitle>https://www.investor.gov</b:InternetSiteTitle>
    <b:URL>https://www.investor.gov/introduction-investing/basics/role-sec</b:URL>
    <b:RefOrder>1</b:RefOrder>
  </b:Source>
  <b:Source>
    <b:Tag>AIC19</b:Tag>
    <b:SourceType>DocumentFromInternetSite</b:SourceType>
    <b:Guid>{2B4693D5-8F00-4D90-AC91-83EBBA673C7D}</b:Guid>
    <b:Author>
      <b:Author>
        <b:Corporate>AICPA</b:Corporate>
      </b:Author>
    </b:Author>
    <b:Title>https://www.aicpa.org/about/missionandhistory.html</b:Title>
    <b:InternetSiteTitle>https://www.aicpa.org</b:InternetSiteTitle>
    <b:Year>2019</b:Year>
    <b:URL>https://www.aicpa.org/about/missionandhistory.html</b:URL>
    <b:RefOrder>2</b:RefOrder>
  </b:Source>
  <b:Source>
    <b:Tag>AIC191</b:Tag>
    <b:SourceType>DocumentFromInternetSite</b:SourceType>
    <b:Guid>{B7BA8398-02F2-4601-8649-3BC7C712E460}</b:Guid>
    <b:Author>
      <b:Author>
        <b:Corporate>AICPA</b:Corporate>
      </b:Author>
    </b:Author>
    <b:Title>https://www.aicpa.org/interestareas/notforprofit/resources/financialaccounting/top-issues-for-not-for-profits-this-year.html</b:Title>
    <b:InternetSiteTitle>https://www.aicpa.org</b:InternetSiteTitle>
    <b:Year>2019</b:Year>
    <b:Month>April</b:Month>
    <b:Day>18</b:Day>
    <b:URL>https://www.aicpa.org/interestareas/notforprofit/resources/financialaccounting/top-issues-for-not-for-profits-this-year.html</b:URL>
    <b:RefOrder>3</b:RefOrder>
  </b:Source>
</b:Sources>
</file>

<file path=customXml/itemProps1.xml><?xml version="1.0" encoding="utf-8"?>
<ds:datastoreItem xmlns:ds="http://schemas.openxmlformats.org/officeDocument/2006/customXml" ds:itemID="{5C0B19C7-74E1-42E8-957E-CCCB4C097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2019-11-20T10:53:00Z</dcterms:created>
  <dcterms:modified xsi:type="dcterms:W3CDTF">2019-11-20T10:53:00Z</dcterms:modified>
</cp:coreProperties>
</file>