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011D7A" w:rsidRDefault="00A46D91">
      <w:pPr>
        <w:jc w:val="center"/>
      </w:pPr>
      <w:r>
        <w:t>ANNOTATED BIBLIOGRAPHY</w:t>
      </w:r>
      <w:r>
        <w:tab/>
      </w:r>
    </w:p>
    <w:p w:rsidR="002A2A03" w:rsidRDefault="00A46D91">
      <w:pPr>
        <w:jc w:val="center"/>
      </w:pPr>
      <w:r>
        <w:t>Your Name  (First M. Last)</w:t>
      </w:r>
    </w:p>
    <w:p w:rsidR="002A2A03" w:rsidRDefault="00A46D91">
      <w:pPr>
        <w:jc w:val="center"/>
      </w:pPr>
      <w:r>
        <w:t>School or Institution Name (University at Place or Town, State)</w:t>
      </w: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011D7A" w:rsidP="00EB26FE">
      <w:pPr>
        <w:ind w:firstLine="0"/>
      </w:pPr>
    </w:p>
    <w:p w:rsidR="00011D7A" w:rsidRDefault="00A46D91" w:rsidP="00011D7A">
      <w:pPr>
        <w:ind w:firstLine="0"/>
      </w:pPr>
      <w:r>
        <w:t xml:space="preserve">                                                    </w:t>
      </w:r>
    </w:p>
    <w:p w:rsidR="00011D7A" w:rsidRPr="00441B99" w:rsidRDefault="00A46D91" w:rsidP="008F331E">
      <w:pPr>
        <w:ind w:firstLine="0"/>
        <w:rPr>
          <w:b/>
        </w:rPr>
      </w:pPr>
      <w:r w:rsidRPr="00441B99">
        <w:rPr>
          <w:b/>
        </w:rPr>
        <w:lastRenderedPageBreak/>
        <w:t xml:space="preserve">                                                   ANNOTATED BIBLIOGRAPHY</w:t>
      </w:r>
      <w:r w:rsidRPr="00441B99">
        <w:rPr>
          <w:b/>
        </w:rPr>
        <w:tab/>
      </w:r>
      <w:r w:rsidR="00EB26FE" w:rsidRPr="00441B99">
        <w:rPr>
          <w:b/>
        </w:rPr>
        <w:tab/>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Kim, B. W., Cho, H., Choi, C. H., Ylaya, K., Chung, J.-Y., Kim, J.-H., &amp; Hewitt, S. M. (2015). Clinical significance of OCT4 and SOX2 protein expression in cervical cancer. </w:t>
      </w:r>
      <w:r w:rsidRPr="00847A00">
        <w:rPr>
          <w:rFonts w:ascii="Times New Roman" w:hAnsi="Times New Roman" w:cs="Times New Roman"/>
          <w:i/>
          <w:iCs/>
          <w:sz w:val="24"/>
          <w:szCs w:val="24"/>
        </w:rPr>
        <w:t xml:space="preserve">BMC </w:t>
      </w:r>
      <w:r w:rsidRPr="00847A00">
        <w:rPr>
          <w:rFonts w:ascii="Times New Roman" w:hAnsi="Times New Roman" w:cs="Times New Roman"/>
          <w:i/>
          <w:iCs/>
          <w:sz w:val="24"/>
          <w:szCs w:val="24"/>
        </w:rPr>
        <w:t>Cancer</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15</w:t>
      </w:r>
      <w:r w:rsidRPr="00847A00">
        <w:rPr>
          <w:rFonts w:ascii="Times New Roman" w:hAnsi="Times New Roman" w:cs="Times New Roman"/>
          <w:sz w:val="24"/>
          <w:szCs w:val="24"/>
        </w:rPr>
        <w:t>, 1015. https://doi.org/10.1186/s12885-015-2015-1</w:t>
      </w:r>
    </w:p>
    <w:p w:rsidR="00F10D3D" w:rsidRDefault="00A46D91" w:rsidP="008F331E">
      <w:pPr>
        <w:ind w:firstLine="0"/>
      </w:pPr>
      <w:r>
        <w:tab/>
        <w:t xml:space="preserve">The authors critically evaluate the significance of SOX2 and OCT4 in the framework of cancer stem cells which were present </w:t>
      </w:r>
      <w:r w:rsidR="009C4BFF">
        <w:t>in certain</w:t>
      </w:r>
      <w:bookmarkStart w:id="0" w:name="_GoBack"/>
      <w:bookmarkEnd w:id="0"/>
      <w:r w:rsidR="009C4BFF">
        <w:t xml:space="preserve"> solid tumors. The methodology pursued the experiment with immunohistochemistry for OCT4 and SOX2 on 289 cervical intraepithelial neoplasia sections, 305 cervical epithelium sample</w:t>
      </w:r>
      <w:r w:rsidR="00D2029A">
        <w:t>s and 161 cervical cancers in comparison to samples with clinicopathologic elements. The study concluded with the results that OCT4 overexpression and loss of SOX2 are strongly linked with the poor prognosis of cervical cancer.</w:t>
      </w:r>
    </w:p>
    <w:p w:rsidR="00C735DB" w:rsidRDefault="00C735DB" w:rsidP="008F331E">
      <w:pPr>
        <w:ind w:firstLine="0"/>
      </w:pP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Lee, C. H., &amp; Yoon, H.-J. (2017). Medical big data: promise and challenges. </w:t>
      </w:r>
      <w:r w:rsidRPr="00847A00">
        <w:rPr>
          <w:rFonts w:ascii="Times New Roman" w:hAnsi="Times New Roman" w:cs="Times New Roman"/>
          <w:i/>
          <w:iCs/>
          <w:sz w:val="24"/>
          <w:szCs w:val="24"/>
        </w:rPr>
        <w:t>Kidney Research and Clinical Practice</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36</w:t>
      </w:r>
      <w:r w:rsidRPr="00847A00">
        <w:rPr>
          <w:rFonts w:ascii="Times New Roman" w:hAnsi="Times New Roman" w:cs="Times New Roman"/>
          <w:sz w:val="24"/>
          <w:szCs w:val="24"/>
        </w:rPr>
        <w:t>(1), 3–11. https://doi.org/10.23876/j.krcp.2017.</w:t>
      </w:r>
      <w:r w:rsidRPr="00847A00">
        <w:rPr>
          <w:rFonts w:ascii="Times New Roman" w:hAnsi="Times New Roman" w:cs="Times New Roman"/>
          <w:sz w:val="24"/>
          <w:szCs w:val="24"/>
        </w:rPr>
        <w:t>36.1.3</w:t>
      </w:r>
    </w:p>
    <w:p w:rsidR="00C735DB" w:rsidRDefault="00A46D91" w:rsidP="008F331E">
      <w:pPr>
        <w:ind w:firstLine="0"/>
      </w:pPr>
      <w:r>
        <w:tab/>
        <w:t>The authors highlight the widespread manifestations of bog data. The medical big data analysis comprises several features w</w:t>
      </w:r>
      <w:r w:rsidR="002B14D9">
        <w:t>hich are not only distinct from</w:t>
      </w:r>
      <w:r w:rsidR="0002723B">
        <w:t xml:space="preserve"> other disciplines but also unique from the traditional practices of clinical epidemiology. </w:t>
      </w:r>
      <w:r w:rsidR="00B05C1C">
        <w:t xml:space="preserve">In addition, the techniques and implications of big data are explicated to </w:t>
      </w:r>
      <w:r w:rsidR="0007305A">
        <w:t xml:space="preserve">as safety or disease surveillance, </w:t>
      </w:r>
      <w:r w:rsidR="009612E0">
        <w:t>clinical decision support, predictive modeling, resea</w:t>
      </w:r>
      <w:r w:rsidR="00205ADF">
        <w:t>rch and public he</w:t>
      </w:r>
      <w:r w:rsidR="00EE45CA">
        <w:t>alth.</w:t>
      </w:r>
      <w:r w:rsidR="002C3087">
        <w:t xml:space="preserve"> However, technical issues as bias control and missing values limit the scope of the studies and the </w:t>
      </w:r>
      <w:r w:rsidR="00694C2E">
        <w:t>outcome</w:t>
      </w:r>
      <w:r w:rsidR="002C3087">
        <w:t xml:space="preserve">. </w:t>
      </w:r>
      <w:r w:rsidR="00EE45CA">
        <w:t xml:space="preserve"> </w:t>
      </w:r>
    </w:p>
    <w:p w:rsidR="00847A00" w:rsidRDefault="00847A00" w:rsidP="00847A00">
      <w:pPr>
        <w:pStyle w:val="Bibliography"/>
        <w:spacing w:line="480" w:lineRule="auto"/>
        <w:ind w:left="720" w:hanging="720"/>
        <w:rPr>
          <w:rFonts w:ascii="Times New Roman" w:hAnsi="Times New Roman" w:cs="Times New Roman"/>
          <w:sz w:val="24"/>
          <w:szCs w:val="24"/>
        </w:rPr>
      </w:pP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Lehmann, C. U., &amp; Technology, C. on C. I. (2015). Pediatric Aspects of Inpatient Health Information Technology Systems. </w:t>
      </w:r>
      <w:r w:rsidRPr="00847A00">
        <w:rPr>
          <w:rFonts w:ascii="Times New Roman" w:hAnsi="Times New Roman" w:cs="Times New Roman"/>
          <w:i/>
          <w:iCs/>
          <w:sz w:val="24"/>
          <w:szCs w:val="24"/>
        </w:rPr>
        <w:t>Pediatrics</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135</w:t>
      </w:r>
      <w:r w:rsidRPr="00847A00">
        <w:rPr>
          <w:rFonts w:ascii="Times New Roman" w:hAnsi="Times New Roman" w:cs="Times New Roman"/>
          <w:sz w:val="24"/>
          <w:szCs w:val="24"/>
        </w:rPr>
        <w:t>(3), e756–e768. https://doi.org/10.1542/peds.2014-4148</w:t>
      </w:r>
    </w:p>
    <w:p w:rsidR="005C6803" w:rsidRDefault="00A46D91" w:rsidP="008F331E">
      <w:pPr>
        <w:ind w:firstLine="0"/>
      </w:pPr>
      <w:r>
        <w:lastRenderedPageBreak/>
        <w:tab/>
        <w:t xml:space="preserve">The report </w:t>
      </w:r>
      <w:r w:rsidR="00F57C4E">
        <w:t xml:space="preserve">manifests the extensive studies based on the last three years </w:t>
      </w:r>
      <w:r w:rsidR="00E74F0E">
        <w:t>of the Health Inform</w:t>
      </w:r>
      <w:r w:rsidR="00A41470">
        <w:t>ation Technology for E</w:t>
      </w:r>
      <w:r w:rsidR="00E00056">
        <w:t>conomic and Clinical Health Act</w:t>
      </w:r>
      <w:r w:rsidR="00596F52">
        <w:t>. The program enhanced the adoption of electronic health records (EHRs) with hospitals and providers to leverage incentives pertinent to meaningful use.</w:t>
      </w:r>
      <w:r w:rsidR="000945F4">
        <w:t xml:space="preserve"> The report underpins the technical pediatric-specific concepts, required functionalities in clinical </w:t>
      </w:r>
      <w:r w:rsidR="00F53244">
        <w:t>information systems and the</w:t>
      </w:r>
      <w:r w:rsidR="00ED1F07">
        <w:t xml:space="preserve"> </w:t>
      </w:r>
      <w:r w:rsidR="001460B1">
        <w:t>needs and data of child health.</w:t>
      </w:r>
      <w:r w:rsidR="007F3547">
        <w:t xml:space="preserve"> </w:t>
      </w:r>
      <w:r w:rsidR="00977F23">
        <w:t>The future im</w:t>
      </w:r>
      <w:r w:rsidR="0051071F">
        <w:t>plications are also deliberated</w:t>
      </w:r>
      <w:r w:rsidR="003D4510">
        <w:t xml:space="preserve"> </w:t>
      </w:r>
      <w:r w:rsidR="00D00E0F">
        <w:t>where pediatricians ought to lobby for</w:t>
      </w:r>
      <w:r w:rsidR="00E6303C">
        <w:t xml:space="preserve"> </w:t>
      </w:r>
      <w:r w:rsidR="0032666E">
        <w:t>enhanceme</w:t>
      </w:r>
      <w:r w:rsidR="00F1142B">
        <w:t>nt of the inpatient HIT systems</w:t>
      </w:r>
      <w:r w:rsidR="002077C7">
        <w:t xml:space="preserve"> to improve the tendency to support efficient and safe</w:t>
      </w:r>
      <w:r w:rsidR="00AF34CB">
        <w:t xml:space="preserve"> delivery for children.</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Li, X.-P., Zhang, X.-W., Zheng, L.-Z., &amp; Guo, W.-J. (2015). Expression of CD44 in pancreatic cancer and its significa</w:t>
      </w:r>
      <w:r w:rsidRPr="00847A00">
        <w:rPr>
          <w:rFonts w:ascii="Times New Roman" w:hAnsi="Times New Roman" w:cs="Times New Roman"/>
          <w:sz w:val="24"/>
          <w:szCs w:val="24"/>
        </w:rPr>
        <w:t xml:space="preserve">nce. </w:t>
      </w:r>
      <w:r w:rsidRPr="00847A00">
        <w:rPr>
          <w:rFonts w:ascii="Times New Roman" w:hAnsi="Times New Roman" w:cs="Times New Roman"/>
          <w:i/>
          <w:iCs/>
          <w:sz w:val="24"/>
          <w:szCs w:val="24"/>
        </w:rPr>
        <w:t>International Journal of Clinical and Experimental Pathology</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8</w:t>
      </w:r>
      <w:r w:rsidRPr="00847A00">
        <w:rPr>
          <w:rFonts w:ascii="Times New Roman" w:hAnsi="Times New Roman" w:cs="Times New Roman"/>
          <w:sz w:val="24"/>
          <w:szCs w:val="24"/>
        </w:rPr>
        <w:t>(6), 6724–6731.</w:t>
      </w:r>
    </w:p>
    <w:p w:rsidR="00694C2E" w:rsidRDefault="00A46D91" w:rsidP="008F331E">
      <w:pPr>
        <w:ind w:firstLine="0"/>
      </w:pPr>
      <w:r>
        <w:tab/>
        <w:t>The</w:t>
      </w:r>
      <w:r w:rsidR="00455197">
        <w:t xml:space="preserve"> research study </w:t>
      </w:r>
      <w:r>
        <w:t>deliberates the therapeutic target CD44 inv</w:t>
      </w:r>
      <w:r w:rsidR="002905BC">
        <w:t>olved in pancreatic cancer.</w:t>
      </w:r>
      <w:r w:rsidR="00A02038">
        <w:t xml:space="preserve"> </w:t>
      </w:r>
      <w:r w:rsidR="005D7F2F">
        <w:t>The significance of CD44 in pancreatic cancer and the correlation with the diagnosis of pancreatic cancer is examined. The study collected samples of sixty-seven</w:t>
      </w:r>
      <w:r w:rsidR="000B7C2E">
        <w:t xml:space="preserve"> pancreatic cancer samples in a hospital associated with Shanghai Jiaotong University. In addition to getting </w:t>
      </w:r>
      <w:r w:rsidR="00DC709C">
        <w:t>the clinical</w:t>
      </w:r>
      <w:r w:rsidR="00715201">
        <w:t xml:space="preserve"> data </w:t>
      </w:r>
      <w:r w:rsidR="008037BE">
        <w:t xml:space="preserve">of </w:t>
      </w:r>
      <w:r w:rsidR="009E5430">
        <w:t>patients,</w:t>
      </w:r>
      <w:r w:rsidR="006C7988">
        <w:t xml:space="preserve"> age, location, history, gender, lymph node metastasis and location were noted. The results concluded that the</w:t>
      </w:r>
      <w:r w:rsidR="003B202E">
        <w:t xml:space="preserve"> positive rates of CD44 expression accounted for 73.1% in the pancreatic samples</w:t>
      </w:r>
      <w:r w:rsidR="00C96372">
        <w:t xml:space="preserve">. The bottom </w:t>
      </w:r>
      <w:r w:rsidR="002670D2">
        <w:t xml:space="preserve">line is that CD44 was critically related to the </w:t>
      </w:r>
      <w:r w:rsidR="00F64D89">
        <w:t xml:space="preserve">aggressive malignant and distant metastasis behaviors of </w:t>
      </w:r>
      <w:r w:rsidR="00755A11">
        <w:t>pancreatic cancer.</w:t>
      </w:r>
      <w:r w:rsidR="00396530">
        <w:t xml:space="preserve"> </w:t>
      </w:r>
      <w:r w:rsidR="00D00E0F">
        <w:t xml:space="preserve"> </w:t>
      </w:r>
      <w:r w:rsidR="007F3547">
        <w:t xml:space="preserve"> </w:t>
      </w:r>
      <w:r w:rsidR="00596F52">
        <w:t xml:space="preserve"> </w:t>
      </w:r>
      <w:r w:rsidR="00372776">
        <w:t xml:space="preserve"> </w:t>
      </w:r>
    </w:p>
    <w:p w:rsidR="00847A00" w:rsidRDefault="00847A00" w:rsidP="008F331E">
      <w:pPr>
        <w:ind w:firstLine="0"/>
      </w:pP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McCullough, J. S., Parente, S. T., &amp; Town, R. (2016). Health information technology and patient outcomes: The role of information and labor coordination. </w:t>
      </w:r>
      <w:r w:rsidRPr="00847A00">
        <w:rPr>
          <w:rFonts w:ascii="Times New Roman" w:hAnsi="Times New Roman" w:cs="Times New Roman"/>
          <w:i/>
          <w:iCs/>
          <w:sz w:val="24"/>
          <w:szCs w:val="24"/>
        </w:rPr>
        <w:t>RAND Journal of Economics</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47</w:t>
      </w:r>
      <w:r w:rsidRPr="00847A00">
        <w:rPr>
          <w:rFonts w:ascii="Times New Roman" w:hAnsi="Times New Roman" w:cs="Times New Roman"/>
          <w:sz w:val="24"/>
          <w:szCs w:val="24"/>
        </w:rPr>
        <w:t>(1), 207–236. https://doi.org/10.1111/1756-2171.12124</w:t>
      </w:r>
    </w:p>
    <w:p w:rsidR="00396530" w:rsidRDefault="00A46D91" w:rsidP="00396530">
      <w:pPr>
        <w:pStyle w:val="Title"/>
        <w:jc w:val="left"/>
      </w:pPr>
      <w:r>
        <w:lastRenderedPageBreak/>
        <w:tab/>
        <w:t>The research st</w:t>
      </w:r>
      <w:r w:rsidR="00D85304">
        <w:t>udy highlights the</w:t>
      </w:r>
      <w:r w:rsidR="0095087F">
        <w:t xml:space="preserve"> manifestations and competence of Health Information technology</w:t>
      </w:r>
      <w:r w:rsidR="00B92509">
        <w:t xml:space="preserve"> (IT</w:t>
      </w:r>
      <w:r w:rsidR="0095087F">
        <w:t>).</w:t>
      </w:r>
      <w:r w:rsidR="0047206E">
        <w:t xml:space="preserve"> In the study, the impacts of the adoption of hospital IT on patient outcomes and the organizational heterogeneity</w:t>
      </w:r>
      <w:r w:rsidR="00E14016">
        <w:t xml:space="preserve"> are explicated</w:t>
      </w:r>
      <w:r w:rsidR="0047206E">
        <w:t>.</w:t>
      </w:r>
      <w:r w:rsidR="003C7960">
        <w:t xml:space="preserve"> </w:t>
      </w:r>
      <w:r w:rsidR="00530A79">
        <w:t xml:space="preserve">A critical appraisal of the inspection reveals that </w:t>
      </w:r>
      <w:r w:rsidR="00E14016">
        <w:t>t</w:t>
      </w:r>
      <w:r w:rsidR="00530A79">
        <w:t xml:space="preserve">he adoption </w:t>
      </w:r>
      <w:r w:rsidR="00DB2D75">
        <w:t>of health IT reduces the</w:t>
      </w:r>
      <w:r w:rsidR="00867A40">
        <w:t xml:space="preserve"> mortality for the most critical patients but refrains from casting a</w:t>
      </w:r>
      <w:r w:rsidR="00410EB0">
        <w:t>ny impact on the median patient.</w:t>
      </w:r>
      <w:r w:rsidR="00C47F70">
        <w:t xml:space="preserve"> Primarily, the benefits of health IT ar</w:t>
      </w:r>
      <w:r w:rsidR="00A43F7F">
        <w:t>e harnessed by th</w:t>
      </w:r>
      <w:r w:rsidR="00AB2FD2">
        <w:t xml:space="preserve">ose whose diagnosis requires </w:t>
      </w:r>
      <w:r w:rsidR="00BA26E6">
        <w:t>extensive clinical information system and c</w:t>
      </w:r>
      <w:r w:rsidR="00D90574">
        <w:t>ross</w:t>
      </w:r>
      <w:r w:rsidR="00E14016">
        <w:t>-specialty</w:t>
      </w:r>
      <w:r w:rsidR="00D90574">
        <w:t xml:space="preserve"> care coordination. </w:t>
      </w:r>
      <w:r w:rsidR="0047206E">
        <w:t xml:space="preserve"> </w:t>
      </w:r>
      <w:r w:rsidR="0095087F">
        <w:t xml:space="preserve">  </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Mennemeyer, S. T., Menachemi, N., Rahurkar, S., &amp;</w:t>
      </w:r>
      <w:r w:rsidRPr="00847A00">
        <w:rPr>
          <w:rFonts w:ascii="Times New Roman" w:hAnsi="Times New Roman" w:cs="Times New Roman"/>
          <w:sz w:val="24"/>
          <w:szCs w:val="24"/>
        </w:rPr>
        <w:t xml:space="preserve"> Ford, E. W. (2016). Impact of the HITECH Act on physicians’ adoption of electronic health records. </w:t>
      </w:r>
      <w:r w:rsidRPr="00847A00">
        <w:rPr>
          <w:rFonts w:ascii="Times New Roman" w:hAnsi="Times New Roman" w:cs="Times New Roman"/>
          <w:i/>
          <w:iCs/>
          <w:sz w:val="24"/>
          <w:szCs w:val="24"/>
        </w:rPr>
        <w:t>Journal of the American Medical Informatics Association: JAMIA</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23</w:t>
      </w:r>
      <w:r w:rsidRPr="00847A00">
        <w:rPr>
          <w:rFonts w:ascii="Times New Roman" w:hAnsi="Times New Roman" w:cs="Times New Roman"/>
          <w:sz w:val="24"/>
          <w:szCs w:val="24"/>
        </w:rPr>
        <w:t>(2), 375–379. https://doi.org/10.1093/jamia/ocv103</w:t>
      </w:r>
    </w:p>
    <w:p w:rsidR="006B0A95" w:rsidRDefault="00A46D91" w:rsidP="00E14016">
      <w:pPr>
        <w:pStyle w:val="Title"/>
        <w:jc w:val="left"/>
      </w:pPr>
      <w:r>
        <w:tab/>
        <w:t xml:space="preserve">The research study </w:t>
      </w:r>
      <w:r w:rsidR="002F6DBF">
        <w:t>highlights the meaningful use (MU) programs that ultimately aimed at enhancing</w:t>
      </w:r>
      <w:r w:rsidR="0028348A">
        <w:t xml:space="preserve"> healthcare </w:t>
      </w:r>
      <w:r w:rsidR="007A5820">
        <w:t>outcome</w:t>
      </w:r>
      <w:r w:rsidR="00A50DCF">
        <w:t>s</w:t>
      </w:r>
      <w:r w:rsidR="000A5B90">
        <w:t>.</w:t>
      </w:r>
      <w:r w:rsidR="00DA5872">
        <w:t xml:space="preserve"> The essence </w:t>
      </w:r>
      <w:r w:rsidR="007B2531">
        <w:t>of the study</w:t>
      </w:r>
      <w:r w:rsidR="00A05825">
        <w:t xml:space="preserve"> evaluates the extent to which the MU program </w:t>
      </w:r>
      <w:r w:rsidR="00AC01C0">
        <w:t>influenced the EHR</w:t>
      </w:r>
      <w:r w:rsidR="007C6A9A">
        <w:t xml:space="preserve"> adoption curv</w:t>
      </w:r>
      <w:r w:rsidR="0015217E">
        <w:t>e which existed before the Act.</w:t>
      </w:r>
      <w:r w:rsidR="00A777E2">
        <w:t xml:space="preserve"> The bottom line is that </w:t>
      </w:r>
      <w:r w:rsidR="000C0C69">
        <w:t xml:space="preserve">authors </w:t>
      </w:r>
      <w:r w:rsidR="00F14F2F">
        <w:t>found weak evidence of the significance of the MU initiative on HER uptake.</w:t>
      </w:r>
    </w:p>
    <w:p w:rsidR="00847A00" w:rsidRDefault="00847A00" w:rsidP="00847A00">
      <w:pPr>
        <w:pStyle w:val="Bibliography"/>
        <w:spacing w:line="480" w:lineRule="auto"/>
        <w:ind w:left="720" w:hanging="720"/>
        <w:rPr>
          <w:rFonts w:ascii="Times New Roman" w:hAnsi="Times New Roman" w:cs="Times New Roman"/>
          <w:sz w:val="24"/>
          <w:szCs w:val="24"/>
        </w:rPr>
      </w:pP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Miller, D. D., &amp; Brown, E. W. (2018). Artificial Intelligence in Medical Practice: The Question to the Answer? </w:t>
      </w:r>
      <w:r w:rsidRPr="00847A00">
        <w:rPr>
          <w:rFonts w:ascii="Times New Roman" w:hAnsi="Times New Roman" w:cs="Times New Roman"/>
          <w:i/>
          <w:iCs/>
          <w:sz w:val="24"/>
          <w:szCs w:val="24"/>
        </w:rPr>
        <w:t>The American Journal of Medicine</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131</w:t>
      </w:r>
      <w:r w:rsidRPr="00847A00">
        <w:rPr>
          <w:rFonts w:ascii="Times New Roman" w:hAnsi="Times New Roman" w:cs="Times New Roman"/>
          <w:sz w:val="24"/>
          <w:szCs w:val="24"/>
        </w:rPr>
        <w:t>(2), 129–133. https://doi.org/10.1016/j.</w:t>
      </w:r>
      <w:r w:rsidRPr="00847A00">
        <w:rPr>
          <w:rFonts w:ascii="Times New Roman" w:hAnsi="Times New Roman" w:cs="Times New Roman"/>
          <w:sz w:val="24"/>
          <w:szCs w:val="24"/>
        </w:rPr>
        <w:t>amjmed.2017.10.035</w:t>
      </w:r>
    </w:p>
    <w:p w:rsidR="00F14F2F" w:rsidRPr="007A5820" w:rsidRDefault="00A46D91" w:rsidP="00E14016">
      <w:pPr>
        <w:pStyle w:val="Title"/>
        <w:jc w:val="left"/>
      </w:pPr>
      <w:r>
        <w:tab/>
        <w:t xml:space="preserve">Artificial intelligence plays an instrumental role in every walk of life and similar patterns are observed in the medical practice. </w:t>
      </w:r>
      <w:r w:rsidR="00B16938">
        <w:t xml:space="preserve">However, the definite answer to the intriguing extent that to what extent AI an impact medical practice remains undressed. </w:t>
      </w:r>
      <w:r w:rsidR="0008151B">
        <w:t xml:space="preserve">In pathology, radiology and </w:t>
      </w:r>
      <w:r w:rsidR="0008151B">
        <w:lastRenderedPageBreak/>
        <w:t>derm</w:t>
      </w:r>
      <w:r w:rsidR="00A91097">
        <w:t>atology, AI is being cultivated</w:t>
      </w:r>
      <w:r w:rsidR="0008151B">
        <w:t xml:space="preserve"> for processing image analysis.</w:t>
      </w:r>
      <w:r w:rsidR="00DF4A70">
        <w:t xml:space="preserve"> It is stipulated that AI can </w:t>
      </w:r>
      <w:r w:rsidR="003D5161">
        <w:t xml:space="preserve">optimize the trajectory of chronic diseases and medical errors. </w:t>
      </w: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011D7A" w:rsidRDefault="00011D7A">
      <w:pPr>
        <w:pStyle w:val="Title"/>
      </w:pPr>
    </w:p>
    <w:p w:rsidR="00A91097" w:rsidRDefault="00A91097" w:rsidP="00A91097">
      <w:pPr>
        <w:pStyle w:val="Title"/>
        <w:jc w:val="left"/>
      </w:pPr>
    </w:p>
    <w:p w:rsidR="00441B99" w:rsidRDefault="00441B99" w:rsidP="00A91097">
      <w:pPr>
        <w:pStyle w:val="Title"/>
        <w:ind w:left="2880" w:firstLine="720"/>
        <w:jc w:val="left"/>
      </w:pPr>
    </w:p>
    <w:p w:rsidR="00441B99" w:rsidRDefault="00441B99" w:rsidP="00A91097">
      <w:pPr>
        <w:pStyle w:val="Title"/>
        <w:ind w:left="2880" w:firstLine="720"/>
        <w:jc w:val="left"/>
      </w:pPr>
    </w:p>
    <w:p w:rsidR="00441B99" w:rsidRDefault="00441B99" w:rsidP="00A91097">
      <w:pPr>
        <w:pStyle w:val="Title"/>
        <w:ind w:left="2880" w:firstLine="720"/>
        <w:jc w:val="left"/>
      </w:pPr>
    </w:p>
    <w:p w:rsidR="00441B99" w:rsidRDefault="00441B99" w:rsidP="00A91097">
      <w:pPr>
        <w:pStyle w:val="Title"/>
        <w:ind w:left="2880" w:firstLine="720"/>
        <w:jc w:val="left"/>
      </w:pPr>
    </w:p>
    <w:p w:rsidR="00441B99" w:rsidRDefault="00441B99" w:rsidP="00A91097">
      <w:pPr>
        <w:pStyle w:val="Title"/>
        <w:ind w:left="2880" w:firstLine="720"/>
        <w:jc w:val="left"/>
      </w:pPr>
    </w:p>
    <w:p w:rsidR="00441B99" w:rsidRDefault="00441B99" w:rsidP="00A91097">
      <w:pPr>
        <w:pStyle w:val="Title"/>
        <w:ind w:left="2880" w:firstLine="720"/>
        <w:jc w:val="left"/>
      </w:pPr>
    </w:p>
    <w:p w:rsidR="002A2A03" w:rsidRDefault="00A46D91" w:rsidP="00A91097">
      <w:pPr>
        <w:pStyle w:val="Title"/>
        <w:ind w:left="2880" w:firstLine="720"/>
        <w:jc w:val="left"/>
      </w:pPr>
      <w:r>
        <w:lastRenderedPageBreak/>
        <w:t>References</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fldChar w:fldCharType="begin"/>
      </w:r>
      <w:r w:rsidRPr="00847A00">
        <w:rPr>
          <w:rFonts w:ascii="Times New Roman" w:hAnsi="Times New Roman" w:cs="Times New Roman"/>
          <w:sz w:val="24"/>
          <w:szCs w:val="24"/>
        </w:rPr>
        <w:instrText xml:space="preserve"> ADDIN ZOTERO_BIBL {"uncited":[],"omitted":[],"custom":[]} CSL_BIBLIOGRAPHY </w:instrText>
      </w:r>
      <w:r w:rsidRPr="00847A00">
        <w:rPr>
          <w:rFonts w:ascii="Times New Roman" w:hAnsi="Times New Roman" w:cs="Times New Roman"/>
          <w:sz w:val="24"/>
          <w:szCs w:val="24"/>
        </w:rPr>
        <w:fldChar w:fldCharType="separate"/>
      </w:r>
      <w:r w:rsidRPr="00847A00">
        <w:rPr>
          <w:rFonts w:ascii="Times New Roman" w:hAnsi="Times New Roman" w:cs="Times New Roman"/>
          <w:sz w:val="24"/>
          <w:szCs w:val="24"/>
        </w:rPr>
        <w:t xml:space="preserve">Kim, B. W., Cho, H., Choi, C. H., Ylaya, K., Chung, J.-Y., Kim, J.-H., &amp; Hewitt, S. M. (2015). Clinical significance of OCT4 and SOX2 protein expression in cervical cancer. </w:t>
      </w:r>
      <w:r w:rsidRPr="00847A00">
        <w:rPr>
          <w:rFonts w:ascii="Times New Roman" w:hAnsi="Times New Roman" w:cs="Times New Roman"/>
          <w:i/>
          <w:iCs/>
          <w:sz w:val="24"/>
          <w:szCs w:val="24"/>
        </w:rPr>
        <w:t>BMC Can</w:t>
      </w:r>
      <w:r w:rsidRPr="00847A00">
        <w:rPr>
          <w:rFonts w:ascii="Times New Roman" w:hAnsi="Times New Roman" w:cs="Times New Roman"/>
          <w:i/>
          <w:iCs/>
          <w:sz w:val="24"/>
          <w:szCs w:val="24"/>
        </w:rPr>
        <w:t>cer</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15</w:t>
      </w:r>
      <w:r w:rsidRPr="00847A00">
        <w:rPr>
          <w:rFonts w:ascii="Times New Roman" w:hAnsi="Times New Roman" w:cs="Times New Roman"/>
          <w:sz w:val="24"/>
          <w:szCs w:val="24"/>
        </w:rPr>
        <w:t>, 1015. https://doi.org/10.1186/s12885-015-2015-1</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Lee, C. H., &amp; Yoon, H.-J. (2017). Medical big data: promise and challenges. </w:t>
      </w:r>
      <w:r w:rsidRPr="00847A00">
        <w:rPr>
          <w:rFonts w:ascii="Times New Roman" w:hAnsi="Times New Roman" w:cs="Times New Roman"/>
          <w:i/>
          <w:iCs/>
          <w:sz w:val="24"/>
          <w:szCs w:val="24"/>
        </w:rPr>
        <w:t>Kidney Research and Clinical Practice</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36</w:t>
      </w:r>
      <w:r w:rsidRPr="00847A00">
        <w:rPr>
          <w:rFonts w:ascii="Times New Roman" w:hAnsi="Times New Roman" w:cs="Times New Roman"/>
          <w:sz w:val="24"/>
          <w:szCs w:val="24"/>
        </w:rPr>
        <w:t>(1), 3–11. https://doi.org/10.23876/j.krcp.2017.36.1.3</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Lehmann, C. U., &amp; Technolog</w:t>
      </w:r>
      <w:r w:rsidRPr="00847A00">
        <w:rPr>
          <w:rFonts w:ascii="Times New Roman" w:hAnsi="Times New Roman" w:cs="Times New Roman"/>
          <w:sz w:val="24"/>
          <w:szCs w:val="24"/>
        </w:rPr>
        <w:t xml:space="preserve">y, C. on C. I. (2015). Pediatric Aspects of Inpatient Health Information Technology Systems. </w:t>
      </w:r>
      <w:r w:rsidRPr="00847A00">
        <w:rPr>
          <w:rFonts w:ascii="Times New Roman" w:hAnsi="Times New Roman" w:cs="Times New Roman"/>
          <w:i/>
          <w:iCs/>
          <w:sz w:val="24"/>
          <w:szCs w:val="24"/>
        </w:rPr>
        <w:t>Pediatrics</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135</w:t>
      </w:r>
      <w:r w:rsidRPr="00847A00">
        <w:rPr>
          <w:rFonts w:ascii="Times New Roman" w:hAnsi="Times New Roman" w:cs="Times New Roman"/>
          <w:sz w:val="24"/>
          <w:szCs w:val="24"/>
        </w:rPr>
        <w:t>(3), e756–e768. https://doi.org/10.1542/peds.2014-4148</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Li, X.-P., Zhang, X.-W., Zheng, L.-Z., &amp; Guo, W.-J. (2015). Expression of CD44 in pancreatic </w:t>
      </w:r>
      <w:r w:rsidRPr="00847A00">
        <w:rPr>
          <w:rFonts w:ascii="Times New Roman" w:hAnsi="Times New Roman" w:cs="Times New Roman"/>
          <w:sz w:val="24"/>
          <w:szCs w:val="24"/>
        </w:rPr>
        <w:t xml:space="preserve">cancer and its significance. </w:t>
      </w:r>
      <w:r w:rsidRPr="00847A00">
        <w:rPr>
          <w:rFonts w:ascii="Times New Roman" w:hAnsi="Times New Roman" w:cs="Times New Roman"/>
          <w:i/>
          <w:iCs/>
          <w:sz w:val="24"/>
          <w:szCs w:val="24"/>
        </w:rPr>
        <w:t>International Journal of Clinical and Experimental Pathology</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8</w:t>
      </w:r>
      <w:r w:rsidRPr="00847A00">
        <w:rPr>
          <w:rFonts w:ascii="Times New Roman" w:hAnsi="Times New Roman" w:cs="Times New Roman"/>
          <w:sz w:val="24"/>
          <w:szCs w:val="24"/>
        </w:rPr>
        <w:t>(6), 6724–6731.</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McCullough, J. S., Parente, S. T., &amp; Town, R. (2016). Health information technology and patient outcomes: The role of information and labor coordina</w:t>
      </w:r>
      <w:r w:rsidRPr="00847A00">
        <w:rPr>
          <w:rFonts w:ascii="Times New Roman" w:hAnsi="Times New Roman" w:cs="Times New Roman"/>
          <w:sz w:val="24"/>
          <w:szCs w:val="24"/>
        </w:rPr>
        <w:t xml:space="preserve">tion. </w:t>
      </w:r>
      <w:r w:rsidRPr="00847A00">
        <w:rPr>
          <w:rFonts w:ascii="Times New Roman" w:hAnsi="Times New Roman" w:cs="Times New Roman"/>
          <w:i/>
          <w:iCs/>
          <w:sz w:val="24"/>
          <w:szCs w:val="24"/>
        </w:rPr>
        <w:t>RAND Journal of Economics</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47</w:t>
      </w:r>
      <w:r w:rsidRPr="00847A00">
        <w:rPr>
          <w:rFonts w:ascii="Times New Roman" w:hAnsi="Times New Roman" w:cs="Times New Roman"/>
          <w:sz w:val="24"/>
          <w:szCs w:val="24"/>
        </w:rPr>
        <w:t>(1), 207–236. https://doi.org/10.1111/1756-2171.12124</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Mennemeyer, S. T., Menachemi, N., Rahurkar, S., &amp; Ford, E. W. (2016). Impact of the HITECH Act on physicians’ adoption of electronic health records. </w:t>
      </w:r>
      <w:r w:rsidRPr="00847A00">
        <w:rPr>
          <w:rFonts w:ascii="Times New Roman" w:hAnsi="Times New Roman" w:cs="Times New Roman"/>
          <w:i/>
          <w:iCs/>
          <w:sz w:val="24"/>
          <w:szCs w:val="24"/>
        </w:rPr>
        <w:t>Journal of the Ame</w:t>
      </w:r>
      <w:r w:rsidRPr="00847A00">
        <w:rPr>
          <w:rFonts w:ascii="Times New Roman" w:hAnsi="Times New Roman" w:cs="Times New Roman"/>
          <w:i/>
          <w:iCs/>
          <w:sz w:val="24"/>
          <w:szCs w:val="24"/>
        </w:rPr>
        <w:t>rican Medical Informatics Association: JAMIA</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23</w:t>
      </w:r>
      <w:r w:rsidRPr="00847A00">
        <w:rPr>
          <w:rFonts w:ascii="Times New Roman" w:hAnsi="Times New Roman" w:cs="Times New Roman"/>
          <w:sz w:val="24"/>
          <w:szCs w:val="24"/>
        </w:rPr>
        <w:t>(2), 375–379. https://doi.org/10.1093/jamia/ocv103</w:t>
      </w:r>
    </w:p>
    <w:p w:rsidR="00847A00" w:rsidRPr="00847A00" w:rsidRDefault="00A46D91" w:rsidP="00847A00">
      <w:pPr>
        <w:pStyle w:val="Bibliography"/>
        <w:spacing w:line="480" w:lineRule="auto"/>
        <w:ind w:left="720" w:hanging="720"/>
        <w:rPr>
          <w:rFonts w:ascii="Times New Roman" w:hAnsi="Times New Roman" w:cs="Times New Roman"/>
          <w:sz w:val="24"/>
          <w:szCs w:val="24"/>
        </w:rPr>
      </w:pPr>
      <w:r w:rsidRPr="00847A00">
        <w:rPr>
          <w:rFonts w:ascii="Times New Roman" w:hAnsi="Times New Roman" w:cs="Times New Roman"/>
          <w:sz w:val="24"/>
          <w:szCs w:val="24"/>
        </w:rPr>
        <w:t xml:space="preserve">Miller, D. D., &amp; Brown, E. W. (2018). Artificial Intelligence in Medical Practice: The Question to the Answer? </w:t>
      </w:r>
      <w:r w:rsidRPr="00847A00">
        <w:rPr>
          <w:rFonts w:ascii="Times New Roman" w:hAnsi="Times New Roman" w:cs="Times New Roman"/>
          <w:i/>
          <w:iCs/>
          <w:sz w:val="24"/>
          <w:szCs w:val="24"/>
        </w:rPr>
        <w:t>The American Journal of Medicine</w:t>
      </w:r>
      <w:r w:rsidRPr="00847A00">
        <w:rPr>
          <w:rFonts w:ascii="Times New Roman" w:hAnsi="Times New Roman" w:cs="Times New Roman"/>
          <w:sz w:val="24"/>
          <w:szCs w:val="24"/>
        </w:rPr>
        <w:t xml:space="preserve">, </w:t>
      </w:r>
      <w:r w:rsidRPr="00847A00">
        <w:rPr>
          <w:rFonts w:ascii="Times New Roman" w:hAnsi="Times New Roman" w:cs="Times New Roman"/>
          <w:i/>
          <w:iCs/>
          <w:sz w:val="24"/>
          <w:szCs w:val="24"/>
        </w:rPr>
        <w:t>131</w:t>
      </w:r>
      <w:r w:rsidRPr="00847A00">
        <w:rPr>
          <w:rFonts w:ascii="Times New Roman" w:hAnsi="Times New Roman" w:cs="Times New Roman"/>
          <w:sz w:val="24"/>
          <w:szCs w:val="24"/>
        </w:rPr>
        <w:t>(2), 129–</w:t>
      </w:r>
      <w:r w:rsidRPr="00847A00">
        <w:rPr>
          <w:rFonts w:ascii="Times New Roman" w:hAnsi="Times New Roman" w:cs="Times New Roman"/>
          <w:sz w:val="24"/>
          <w:szCs w:val="24"/>
        </w:rPr>
        <w:t>133. https://doi.org/10.1016/j.amjmed.2017.10.035</w:t>
      </w:r>
    </w:p>
    <w:p w:rsidR="002A2A03" w:rsidRDefault="00A46D91" w:rsidP="00441B99">
      <w:pPr>
        <w:ind w:left="720" w:hanging="720"/>
      </w:pPr>
      <w:r w:rsidRPr="00847A00">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91" w:rsidRDefault="00A46D91">
      <w:pPr>
        <w:spacing w:line="240" w:lineRule="auto"/>
      </w:pPr>
      <w:r>
        <w:separator/>
      </w:r>
    </w:p>
  </w:endnote>
  <w:endnote w:type="continuationSeparator" w:id="0">
    <w:p w:rsidR="00A46D91" w:rsidRDefault="00A46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91" w:rsidRDefault="00A46D91">
      <w:pPr>
        <w:spacing w:line="240" w:lineRule="auto"/>
      </w:pPr>
      <w:r>
        <w:separator/>
      </w:r>
    </w:p>
  </w:footnote>
  <w:footnote w:type="continuationSeparator" w:id="0">
    <w:p w:rsidR="00A46D91" w:rsidRDefault="00A46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46D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46D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B99">
      <w:rPr>
        <w:rStyle w:val="PageNumber"/>
        <w:noProof/>
      </w:rPr>
      <w:t>3</w:t>
    </w:r>
    <w:r>
      <w:rPr>
        <w:rStyle w:val="PageNumber"/>
      </w:rPr>
      <w:fldChar w:fldCharType="end"/>
    </w:r>
  </w:p>
  <w:p w:rsidR="002A2A03" w:rsidRDefault="00A46D91" w:rsidP="00011D7A">
    <w:pPr>
      <w:pStyle w:val="Header"/>
      <w:tabs>
        <w:tab w:val="left" w:pos="3465"/>
      </w:tabs>
      <w:ind w:right="360" w:firstLine="0"/>
    </w:pPr>
    <w:r>
      <w:t>ANNOTATED BIBLIOGRAPHY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46D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B99">
      <w:rPr>
        <w:rStyle w:val="PageNumber"/>
        <w:noProof/>
      </w:rPr>
      <w:t>1</w:t>
    </w:r>
    <w:r>
      <w:rPr>
        <w:rStyle w:val="PageNumber"/>
      </w:rPr>
      <w:fldChar w:fldCharType="end"/>
    </w:r>
  </w:p>
  <w:p w:rsidR="002A2A03" w:rsidRDefault="00A46D91">
    <w:pPr>
      <w:ind w:right="360" w:firstLine="0"/>
    </w:pPr>
    <w:r>
      <w:t>Running h</w:t>
    </w:r>
    <w:r w:rsidR="00011D7A">
      <w:t>ead: ANNOTATED BIBLIOGRAPHY</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1D7A"/>
    <w:rsid w:val="0002723B"/>
    <w:rsid w:val="00034F4A"/>
    <w:rsid w:val="0007305A"/>
    <w:rsid w:val="0008151B"/>
    <w:rsid w:val="00093EA6"/>
    <w:rsid w:val="000945F4"/>
    <w:rsid w:val="000A5B90"/>
    <w:rsid w:val="000B0A32"/>
    <w:rsid w:val="000B7C2E"/>
    <w:rsid w:val="000C0C69"/>
    <w:rsid w:val="00104E7E"/>
    <w:rsid w:val="001460B1"/>
    <w:rsid w:val="00146A4D"/>
    <w:rsid w:val="0015217E"/>
    <w:rsid w:val="001A0A79"/>
    <w:rsid w:val="001C03E7"/>
    <w:rsid w:val="001E04C1"/>
    <w:rsid w:val="001E7099"/>
    <w:rsid w:val="001F4D42"/>
    <w:rsid w:val="00205ADF"/>
    <w:rsid w:val="002077C7"/>
    <w:rsid w:val="00215054"/>
    <w:rsid w:val="002670D2"/>
    <w:rsid w:val="00277027"/>
    <w:rsid w:val="002815E9"/>
    <w:rsid w:val="0028348A"/>
    <w:rsid w:val="00284667"/>
    <w:rsid w:val="002905BC"/>
    <w:rsid w:val="00297F9A"/>
    <w:rsid w:val="002A2A03"/>
    <w:rsid w:val="002B08F9"/>
    <w:rsid w:val="002B14D9"/>
    <w:rsid w:val="002C3087"/>
    <w:rsid w:val="002F6DBF"/>
    <w:rsid w:val="0030250C"/>
    <w:rsid w:val="003060EA"/>
    <w:rsid w:val="00312534"/>
    <w:rsid w:val="0032666E"/>
    <w:rsid w:val="00372776"/>
    <w:rsid w:val="003749C5"/>
    <w:rsid w:val="0038519E"/>
    <w:rsid w:val="00396530"/>
    <w:rsid w:val="003A3237"/>
    <w:rsid w:val="003B1C35"/>
    <w:rsid w:val="003B202E"/>
    <w:rsid w:val="003C7960"/>
    <w:rsid w:val="003D359D"/>
    <w:rsid w:val="003D4510"/>
    <w:rsid w:val="003D5161"/>
    <w:rsid w:val="00410EB0"/>
    <w:rsid w:val="0042451F"/>
    <w:rsid w:val="00441B99"/>
    <w:rsid w:val="00455197"/>
    <w:rsid w:val="00464C77"/>
    <w:rsid w:val="0047206E"/>
    <w:rsid w:val="00474C71"/>
    <w:rsid w:val="004A25F9"/>
    <w:rsid w:val="004B3B55"/>
    <w:rsid w:val="0051071F"/>
    <w:rsid w:val="00530A79"/>
    <w:rsid w:val="00555682"/>
    <w:rsid w:val="005705C8"/>
    <w:rsid w:val="00596F52"/>
    <w:rsid w:val="005C6803"/>
    <w:rsid w:val="005D7F2F"/>
    <w:rsid w:val="005F5B64"/>
    <w:rsid w:val="006534DC"/>
    <w:rsid w:val="006775C9"/>
    <w:rsid w:val="00694C2E"/>
    <w:rsid w:val="006A0BB7"/>
    <w:rsid w:val="006A7486"/>
    <w:rsid w:val="006B0A1D"/>
    <w:rsid w:val="006B0A95"/>
    <w:rsid w:val="006C7988"/>
    <w:rsid w:val="00715201"/>
    <w:rsid w:val="00755A11"/>
    <w:rsid w:val="007A3CC0"/>
    <w:rsid w:val="007A5820"/>
    <w:rsid w:val="007B2531"/>
    <w:rsid w:val="007C6A9A"/>
    <w:rsid w:val="007F3547"/>
    <w:rsid w:val="008037BE"/>
    <w:rsid w:val="00847A00"/>
    <w:rsid w:val="00867A40"/>
    <w:rsid w:val="0089611C"/>
    <w:rsid w:val="008967DA"/>
    <w:rsid w:val="008B4184"/>
    <w:rsid w:val="008D0BD5"/>
    <w:rsid w:val="008F331E"/>
    <w:rsid w:val="008F57E1"/>
    <w:rsid w:val="00902F51"/>
    <w:rsid w:val="00910E7C"/>
    <w:rsid w:val="00937386"/>
    <w:rsid w:val="009422DD"/>
    <w:rsid w:val="0095087F"/>
    <w:rsid w:val="009612E0"/>
    <w:rsid w:val="00977F23"/>
    <w:rsid w:val="00992566"/>
    <w:rsid w:val="009C4BFF"/>
    <w:rsid w:val="009E5430"/>
    <w:rsid w:val="00A02038"/>
    <w:rsid w:val="00A05825"/>
    <w:rsid w:val="00A107D0"/>
    <w:rsid w:val="00A41470"/>
    <w:rsid w:val="00A43F7F"/>
    <w:rsid w:val="00A46D91"/>
    <w:rsid w:val="00A50DCF"/>
    <w:rsid w:val="00A777E2"/>
    <w:rsid w:val="00A85FCB"/>
    <w:rsid w:val="00A91097"/>
    <w:rsid w:val="00AB2FD2"/>
    <w:rsid w:val="00AC01C0"/>
    <w:rsid w:val="00AD6C7E"/>
    <w:rsid w:val="00AF162A"/>
    <w:rsid w:val="00AF34CB"/>
    <w:rsid w:val="00B05C1C"/>
    <w:rsid w:val="00B07AAE"/>
    <w:rsid w:val="00B153E7"/>
    <w:rsid w:val="00B16938"/>
    <w:rsid w:val="00B44D70"/>
    <w:rsid w:val="00B64909"/>
    <w:rsid w:val="00B92509"/>
    <w:rsid w:val="00BA24B1"/>
    <w:rsid w:val="00BA26E6"/>
    <w:rsid w:val="00BB5FBA"/>
    <w:rsid w:val="00C456CF"/>
    <w:rsid w:val="00C47F70"/>
    <w:rsid w:val="00C572C4"/>
    <w:rsid w:val="00C67138"/>
    <w:rsid w:val="00C735DB"/>
    <w:rsid w:val="00C96372"/>
    <w:rsid w:val="00CF29F0"/>
    <w:rsid w:val="00D003E6"/>
    <w:rsid w:val="00D00E0F"/>
    <w:rsid w:val="00D03F5C"/>
    <w:rsid w:val="00D2029A"/>
    <w:rsid w:val="00D244D7"/>
    <w:rsid w:val="00D25D67"/>
    <w:rsid w:val="00D85304"/>
    <w:rsid w:val="00D90574"/>
    <w:rsid w:val="00DA5872"/>
    <w:rsid w:val="00DB2D75"/>
    <w:rsid w:val="00DC709C"/>
    <w:rsid w:val="00DF4A70"/>
    <w:rsid w:val="00DF6366"/>
    <w:rsid w:val="00E00056"/>
    <w:rsid w:val="00E14016"/>
    <w:rsid w:val="00E6303C"/>
    <w:rsid w:val="00E74F0E"/>
    <w:rsid w:val="00EB26FE"/>
    <w:rsid w:val="00ED1F07"/>
    <w:rsid w:val="00ED36E7"/>
    <w:rsid w:val="00EE4108"/>
    <w:rsid w:val="00EE45CA"/>
    <w:rsid w:val="00F072DD"/>
    <w:rsid w:val="00F10D3D"/>
    <w:rsid w:val="00F1142B"/>
    <w:rsid w:val="00F14F2F"/>
    <w:rsid w:val="00F53244"/>
    <w:rsid w:val="00F57C4E"/>
    <w:rsid w:val="00F64D89"/>
    <w:rsid w:val="00F85B93"/>
    <w:rsid w:val="00F9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847A00"/>
    <w:pPr>
      <w:spacing w:line="240" w:lineRule="auto"/>
      <w:ind w:firstLine="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847A00"/>
    <w:pPr>
      <w:spacing w:line="240" w:lineRule="auto"/>
      <w:ind w:firstLine="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2019-04-10T09:19:00Z</dcterms:created>
  <dcterms:modified xsi:type="dcterms:W3CDTF">2019-04-10T09:22:00Z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id="cr7f1a0f"/&gt;&lt;style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