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39316FC" w:rsidR="00C63999" w:rsidRDefault="00424A5F" w:rsidP="004B099C">
      <w:pPr>
        <w:pStyle w:val="Title"/>
      </w:pPr>
      <w:r>
        <w:t xml:space="preserve">Political Science </w:t>
      </w:r>
    </w:p>
    <w:p w14:paraId="40545637" w14:textId="3255964E" w:rsidR="00C63999" w:rsidRDefault="00424A5F" w:rsidP="004B099C">
      <w:pPr>
        <w:pStyle w:val="Title2"/>
      </w:pPr>
      <w:r>
        <w:t xml:space="preserve">Name </w:t>
      </w:r>
    </w:p>
    <w:p w14:paraId="22FE8A33" w14:textId="7E7C5F1B" w:rsidR="00E81978" w:rsidRDefault="00424A5F" w:rsidP="004B099C">
      <w:pPr>
        <w:pStyle w:val="Title2"/>
      </w:pPr>
      <w:r>
        <w:t>[Institutional Affiliation(s)]</w:t>
      </w:r>
    </w:p>
    <w:p w14:paraId="1A087968" w14:textId="77777777" w:rsidR="00E81978" w:rsidRDefault="00424A5F" w:rsidP="004B099C">
      <w:pPr>
        <w:pStyle w:val="Title"/>
      </w:pPr>
      <w:r>
        <w:t>Author Note</w:t>
      </w:r>
    </w:p>
    <w:p w14:paraId="221AC589" w14:textId="77777777" w:rsidR="00E81978" w:rsidRPr="0027447E" w:rsidRDefault="00E81978" w:rsidP="004B099C">
      <w:pPr>
        <w:rPr>
          <w:color w:val="FF0000"/>
        </w:rPr>
      </w:pPr>
    </w:p>
    <w:p w14:paraId="54F777A0" w14:textId="79E625E4" w:rsidR="00612B3E" w:rsidRPr="00612B3E" w:rsidRDefault="00424A5F" w:rsidP="004B099C">
      <w:pPr>
        <w:pStyle w:val="SectionTitle"/>
      </w:pPr>
      <w:r>
        <w:lastRenderedPageBreak/>
        <w:t xml:space="preserve"> Urban Survival Syndrome and Affluenza Defense </w:t>
      </w:r>
    </w:p>
    <w:p w14:paraId="783F51C5" w14:textId="789ED876" w:rsidR="00B177B2" w:rsidRPr="00B177B2" w:rsidRDefault="00424A5F" w:rsidP="00B177B2">
      <w:pPr>
        <w:pStyle w:val="Heading1"/>
        <w:jc w:val="left"/>
        <w:rPr>
          <w:color w:val="000000" w:themeColor="text1"/>
        </w:rPr>
      </w:pPr>
      <w:bookmarkStart w:id="0" w:name="_GoBack"/>
      <w:r w:rsidRPr="00B177B2">
        <w:rPr>
          <w:color w:val="000000" w:themeColor="text1"/>
        </w:rPr>
        <w:t>Response 1</w:t>
      </w:r>
      <w:r w:rsidR="00B849BE" w:rsidRPr="00B177B2">
        <w:rPr>
          <w:color w:val="000000" w:themeColor="text1"/>
        </w:rPr>
        <w:tab/>
      </w:r>
    </w:p>
    <w:p w14:paraId="3030DA45" w14:textId="1B501B5D" w:rsidR="00B177B2" w:rsidRDefault="00424A5F" w:rsidP="00B177B2">
      <w:pPr>
        <w:ind w:firstLine="720"/>
        <w:jc w:val="both"/>
      </w:pPr>
      <w:r>
        <w:t xml:space="preserve">Affluenza is described as </w:t>
      </w:r>
      <w:r w:rsidRPr="008347F8">
        <w:t>a throbbing, transmissible, informally transmitted circumstance</w:t>
      </w:r>
      <w:r>
        <w:t>s</w:t>
      </w:r>
      <w:r w:rsidRPr="008347F8">
        <w:t xml:space="preserve"> of excess, </w:t>
      </w:r>
      <w:r w:rsidR="00CA41C6">
        <w:t xml:space="preserve">liability, and anxiety </w:t>
      </w:r>
      <w:r w:rsidRPr="008347F8">
        <w:t>subsequent</w:t>
      </w:r>
      <w:r>
        <w:t xml:space="preserve"> to t</w:t>
      </w:r>
      <w:r w:rsidRPr="008347F8">
        <w:t>he persistent</w:t>
      </w:r>
      <w:r>
        <w:t xml:space="preserve"> chase of more. It can also be defined as</w:t>
      </w:r>
      <w:r w:rsidRPr="008347F8">
        <w:t xml:space="preserve"> 'a quasi-illness initiated by remorse for one's</w:t>
      </w:r>
      <w:r>
        <w:t xml:space="preserve"> own socio-economic preeminence’. </w:t>
      </w:r>
      <w:r w:rsidRPr="008347F8">
        <w:t>The word</w:t>
      </w:r>
      <w:r>
        <w:t xml:space="preserve"> affluenza is </w:t>
      </w:r>
      <w:r w:rsidRPr="008347F8">
        <w:t>used to mention an incapability to reco</w:t>
      </w:r>
      <w:r w:rsidRPr="008347F8">
        <w:t>gnize the penalties of one's activities</w:t>
      </w:r>
      <w:r>
        <w:t xml:space="preserve"> due to </w:t>
      </w:r>
      <w:r w:rsidRPr="008347F8">
        <w:t>financial p</w:t>
      </w:r>
      <w:r>
        <w:t>rivilege, for example</w:t>
      </w:r>
      <w:r w:rsidRPr="008347F8">
        <w:t>, Ethan Couch</w:t>
      </w:r>
      <w:r>
        <w:t xml:space="preserve">’s case </w:t>
      </w:r>
      <w:r>
        <w:fldChar w:fldCharType="begin"/>
      </w:r>
      <w:r>
        <w:instrText xml:space="preserve"> ADDIN ZOTERO_ITEM CSL_CITATION {"citationID":"2Bj11Dps","properties":{"formattedCitation":"(Cardenas, 2019)","plainCitation":"(Cardenas, 2019)","noteIndex"</w:instrText>
      </w:r>
      <w:r>
        <w:instrText>:0},"citationItems":[{"id":42,"uris":["http://zotero.org/users/local/Hznayqvz/items/LQ4V6YEP"],"uri":["http://zotero.org/users/local/Hznayqvz/items/LQ4V6YEP"],"itemData":{"id":42,"type":"article-journal","title":"Guilt. Punishment. Justice, but is it reall</w:instrText>
      </w:r>
      <w:r>
        <w:instrText>y?","container-title":"FAU Undergraduate Law Journal","page":"15","volume":"1","author":[{"family":"Cardenas","given":"Stefania"}],"issued":{"date-parts":[["2019"]]}}}],"schema":"https://github.com/citation-style-language/schema/raw/master/csl-citation.jso</w:instrText>
      </w:r>
      <w:r>
        <w:instrText xml:space="preserve">n"} </w:instrText>
      </w:r>
      <w:r>
        <w:fldChar w:fldCharType="separate"/>
      </w:r>
      <w:r w:rsidRPr="00B177B2">
        <w:t>(Cardenas, 2019)</w:t>
      </w:r>
      <w:r>
        <w:fldChar w:fldCharType="end"/>
      </w:r>
      <w:r>
        <w:t>. T</w:t>
      </w:r>
      <w:r w:rsidRPr="007F6E09">
        <w:t>he urba</w:t>
      </w:r>
      <w:r>
        <w:t>n survival syndrome is described as an excuse defense</w:t>
      </w:r>
      <w:r w:rsidRPr="007F6E09">
        <w:t xml:space="preserve"> as a form of the abuse defense</w:t>
      </w:r>
      <w:r>
        <w:t xml:space="preserve">. For example, a person </w:t>
      </w:r>
      <w:r w:rsidRPr="007F6E09">
        <w:t>suffering</w:t>
      </w:r>
      <w:r>
        <w:t xml:space="preserve"> from </w:t>
      </w:r>
      <w:r w:rsidRPr="007F6E09">
        <w:t>daily life of cultural discrimination and viciousness</w:t>
      </w:r>
      <w:r>
        <w:t xml:space="preserve"> commonly observed in various </w:t>
      </w:r>
      <w:r w:rsidRPr="007F6E09">
        <w:t>cities in the Uni</w:t>
      </w:r>
      <w:r w:rsidRPr="007F6E09">
        <w:t>ted States causes a particular state equal to that initiated by survival in a violent battleground of war</w:t>
      </w:r>
      <w:r>
        <w:t xml:space="preserve"> </w:t>
      </w:r>
      <w:r>
        <w:fldChar w:fldCharType="begin"/>
      </w:r>
      <w:r>
        <w:instrText xml:space="preserve"> ADDIN ZOTERO_ITEM CSL_CITATION {"citationID":"FzOT5QnZ","properties":{"formattedCitation":"(Mahoney, 2019)","plainCitation":"(Mahoney, 2019)","noteIn</w:instrText>
      </w:r>
      <w:r>
        <w:instrText xml:space="preserve">dex":0},"citationItems":[{"id":44,"uris":["http://zotero.org/users/local/Hznayqvz/items/M8RV6ESE"],"uri":["http://zotero.org/users/local/Hznayqvz/items/M8RV6ESE"],"itemData":{"id":44,"type":"article-journal","title":"How Failure to Protect Laws Punish the </w:instrText>
      </w:r>
      <w:r>
        <w:instrText xml:space="preserve">Vulnerable","container-title":"Health Matrix","page":"429","volume":"29","author":[{"family":"Mahoney","given":"Amanda"}],"issued":{"date-parts":[["2019"]]}}}],"schema":"https://github.com/citation-style-language/schema/raw/master/csl-citation.json"} </w:instrText>
      </w:r>
      <w:r>
        <w:fldChar w:fldCharType="separate"/>
      </w:r>
      <w:r w:rsidRPr="00B177B2">
        <w:t>(Maho</w:t>
      </w:r>
      <w:r w:rsidRPr="00B177B2">
        <w:t>ney, 2019)</w:t>
      </w:r>
      <w:r>
        <w:fldChar w:fldCharType="end"/>
      </w:r>
      <w:r w:rsidRPr="007F6E09">
        <w:t xml:space="preserve">. </w:t>
      </w:r>
      <w:r>
        <w:t>Ultimately resulted in a state already existing in psychological filed with a name</w:t>
      </w:r>
      <w:r w:rsidRPr="007F6E09">
        <w:t> post-traumatic stress disorder</w:t>
      </w:r>
      <w:r>
        <w:t xml:space="preserve">. </w:t>
      </w:r>
    </w:p>
    <w:p w14:paraId="0D488422" w14:textId="3201B9D6" w:rsidR="00B177B2" w:rsidRPr="00B177B2" w:rsidRDefault="00424A5F" w:rsidP="00B177B2">
      <w:pPr>
        <w:rPr>
          <w:b/>
        </w:rPr>
      </w:pPr>
      <w:r w:rsidRPr="00B177B2">
        <w:rPr>
          <w:b/>
        </w:rPr>
        <w:t>Response 2</w:t>
      </w:r>
    </w:p>
    <w:p w14:paraId="6D88584D" w14:textId="24EF4D50" w:rsidR="00B177B2" w:rsidRDefault="00424A5F" w:rsidP="00B177B2">
      <w:pPr>
        <w:ind w:firstLine="720"/>
        <w:jc w:val="both"/>
      </w:pPr>
      <w:r>
        <w:t xml:space="preserve">Daimion Osby killed two unarmed men in a community parking lot and </w:t>
      </w:r>
      <w:r w:rsidR="00CA41C6">
        <w:t xml:space="preserve">argued that </w:t>
      </w:r>
      <w:r>
        <w:t>he shot them due to fear of life. He killed two</w:t>
      </w:r>
      <w:r>
        <w:t xml:space="preserve"> persons because he has to save his own life and the argument was accepted as Osby was living in a community of the highest criminal rate using Urban Survival syndrome. Ethan Couch killed four persons at the age of 16 while he was driving under the effects</w:t>
      </w:r>
      <w:r>
        <w:t xml:space="preserve"> of drugs and alcohol. He was sentenced for probation of ten years and subsequently for therapy in patient-facility </w:t>
      </w:r>
      <w:r>
        <w:fldChar w:fldCharType="begin"/>
      </w:r>
      <w:r>
        <w:instrText xml:space="preserve"> ADDIN ZOTERO_ITEM CSL_CITATION {"citationID":"nbXCMJrd","properties":{"formattedCitation":"(Westlund, 2018)","plainCitation":"(Westlund, 20</w:instrText>
      </w:r>
      <w:r>
        <w:instrText>18)","noteIndex":0},"citationItems":[{"id":43,"uris":["http://zotero.org/users/local/Hznayqvz/items/8U52HJNR"],"uri":["http://zotero.org/users/local/Hznayqvz/items/8U52HJNR"],"itemData":{"id":43,"type":"article-journal","title":"Answerability without Blame</w:instrText>
      </w:r>
      <w:r>
        <w:instrText>?","container-title":"Social Dimensions of Moral Responsibility","page":"253","author":[{"family":"Westlund","given":"Andrea C."}],"issued":{"date-parts":[["2018"]]}}}],"schema":"https://github.com/citation-style-language/schema/raw/master/csl-citation.jso</w:instrText>
      </w:r>
      <w:r>
        <w:instrText xml:space="preserve">n"} </w:instrText>
      </w:r>
      <w:r>
        <w:fldChar w:fldCharType="separate"/>
      </w:r>
      <w:r w:rsidRPr="00B177B2">
        <w:t>(Westlund, 2018)</w:t>
      </w:r>
      <w:r>
        <w:fldChar w:fldCharType="end"/>
      </w:r>
      <w:r>
        <w:t xml:space="preserve">. The attorney argued that he had affluenza (he had no idea for boundaries as his parents did not give any) and should be sent for rehabilitation instead of prison and later </w:t>
      </w:r>
      <w:r w:rsidR="00CA41C6">
        <w:t xml:space="preserve">it was accepted and </w:t>
      </w:r>
      <w:r>
        <w:t xml:space="preserve">he was sent to prison for two years. </w:t>
      </w:r>
    </w:p>
    <w:p w14:paraId="22B06F25" w14:textId="67614BF2" w:rsidR="00B177B2" w:rsidRDefault="00424A5F" w:rsidP="00B177B2">
      <w:pPr>
        <w:pStyle w:val="Heading2"/>
      </w:pPr>
      <w:r>
        <w:lastRenderedPageBreak/>
        <w:t>Response 3</w:t>
      </w:r>
    </w:p>
    <w:p w14:paraId="793ECAD8" w14:textId="77777777" w:rsidR="00B177B2" w:rsidRDefault="00424A5F" w:rsidP="00B177B2">
      <w:pPr>
        <w:ind w:firstLine="720"/>
      </w:pPr>
      <w:r>
        <w:t>An individ</w:t>
      </w:r>
      <w:r>
        <w:t xml:space="preserve">ual's actions should be justified on the basis of his circumstances such as urban survival is a state in which a person's actions should be excused as he is unaware of the typical situation. Similarly, the order of sentence should be declared on the basis </w:t>
      </w:r>
      <w:r>
        <w:t>of the actual situation not influenced by the status of wealth.</w:t>
      </w:r>
    </w:p>
    <w:p w14:paraId="7AA550FC" w14:textId="25690202" w:rsidR="00B177B2" w:rsidRDefault="00424A5F" w:rsidP="00B177B2">
      <w:pPr>
        <w:pStyle w:val="Heading2"/>
      </w:pPr>
      <w:r>
        <w:t>Response 4</w:t>
      </w:r>
    </w:p>
    <w:p w14:paraId="3320D9BF" w14:textId="0B75BBAD" w:rsidR="00B177B2" w:rsidRDefault="00424A5F" w:rsidP="00B177B2">
      <w:pPr>
        <w:ind w:firstLine="720"/>
        <w:jc w:val="both"/>
      </w:pPr>
      <w:r>
        <w:t>Ethan Couch on probation and Daimion Osby’s case, both of the cases were defended on actual circumstances and genuinely because of the fact that Ethan Couch was true to save his lif</w:t>
      </w:r>
      <w:r>
        <w:t xml:space="preserve">e and Daimion Osby was unaware of the rules and boundaries as he had not encountered </w:t>
      </w:r>
      <w:r w:rsidR="00CA41C6">
        <w:t xml:space="preserve">these situations </w:t>
      </w:r>
      <w:r>
        <w:t xml:space="preserve">in his life </w:t>
      </w:r>
      <w:r>
        <w:fldChar w:fldCharType="begin"/>
      </w:r>
      <w:r>
        <w:instrText xml:space="preserve"> ADDIN ZOTERO_ITEM CSL_CITATION {"citationID":"odGrOpiY","properties":{"formattedCitation":"(Mahoney, 2019)","plainCitation":"(Mahoney, 2019)","noteIndex":0},"</w:instrText>
      </w:r>
      <w:r>
        <w:instrText>citationItems":[{"id":44,"uris":["http://zotero.org/users/local/Hznayqvz/items/M8RV6ESE"],"uri":["http://zotero.org/users/local/Hznayqvz/items/M8RV6ESE"],"itemData":{"id":44,"type":"article-journal","title":"How Failure to Protect Laws Punish the Vulnerabl</w:instrText>
      </w:r>
      <w:r>
        <w:instrText xml:space="preserve">e","container-title":"Health Matrix","page":"429","volume":"29","author":[{"family":"Mahoney","given":"Amanda"}],"issued":{"date-parts":[["2019"]]}}}],"schema":"https://github.com/citation-style-language/schema/raw/master/csl-citation.json"} </w:instrText>
      </w:r>
      <w:r>
        <w:fldChar w:fldCharType="separate"/>
      </w:r>
      <w:r w:rsidRPr="00B177B2">
        <w:t xml:space="preserve">(Mahoney, </w:t>
      </w:r>
      <w:r w:rsidRPr="00B177B2">
        <w:t>2019)</w:t>
      </w:r>
      <w:r>
        <w:fldChar w:fldCharType="end"/>
      </w:r>
      <w:r>
        <w:t>. However, the crime should not be left unattended in every situation, its court's duty to thoroughly observe every inch of the incident.</w:t>
      </w:r>
    </w:p>
    <w:p w14:paraId="693385BF" w14:textId="77777777" w:rsidR="00B177B2" w:rsidRDefault="00424A5F">
      <w:pPr>
        <w:spacing w:line="240" w:lineRule="auto"/>
        <w:rPr>
          <w:b/>
          <w:bCs/>
        </w:rPr>
      </w:pPr>
      <w:r>
        <w:rPr>
          <w:b/>
          <w:bCs/>
        </w:rPr>
        <w:br w:type="page"/>
      </w:r>
    </w:p>
    <w:bookmarkEnd w:id="0" w:displacedByCustomXml="next"/>
    <w:sdt>
      <w:sdtPr>
        <w:rPr>
          <w:b/>
          <w:bCs/>
        </w:rPr>
        <w:id w:val="-1826895820"/>
        <w:docPartObj>
          <w:docPartGallery w:val="Bibliographies"/>
          <w:docPartUnique/>
        </w:docPartObj>
      </w:sdtPr>
      <w:sdtEndPr>
        <w:rPr>
          <w:b w:val="0"/>
          <w:bCs w:val="0"/>
        </w:rPr>
      </w:sdtEndPr>
      <w:sdtContent>
        <w:p w14:paraId="283E8F36" w14:textId="0E4E3427" w:rsidR="009D1AE9" w:rsidRPr="00B177B2" w:rsidRDefault="00424A5F" w:rsidP="00B177B2">
          <w:pPr>
            <w:jc w:val="center"/>
            <w:rPr>
              <w:b/>
            </w:rPr>
          </w:pPr>
          <w:r w:rsidRPr="00B177B2">
            <w:rPr>
              <w:b/>
            </w:rPr>
            <w:t>References</w:t>
          </w:r>
        </w:p>
        <w:sdt>
          <w:sdtPr>
            <w:rPr>
              <w:kern w:val="0"/>
            </w:rPr>
            <w:id w:val="-573587230"/>
            <w:bibliography/>
          </w:sdtPr>
          <w:sdtEndPr/>
          <w:sdtContent>
            <w:p w14:paraId="16DCCB80" w14:textId="77777777" w:rsidR="00B177B2" w:rsidRPr="00B177B2" w:rsidRDefault="00424A5F" w:rsidP="00B177B2">
              <w:pPr>
                <w:pStyle w:val="Bibliography"/>
                <w:rPr>
                  <w:color w:val="000000" w:themeColor="text1"/>
                </w:rPr>
              </w:pPr>
              <w:r>
                <w:fldChar w:fldCharType="begin"/>
              </w:r>
              <w:r>
                <w:instrText xml:space="preserve"> BIBLIOGRAPHY </w:instrText>
              </w:r>
              <w:r>
                <w:fldChar w:fldCharType="separate"/>
              </w:r>
              <w:r w:rsidRPr="00B177B2">
                <w:rPr>
                  <w:noProof/>
                  <w:color w:val="000000" w:themeColor="text1"/>
                </w:rPr>
                <w:fldChar w:fldCharType="begin"/>
              </w:r>
              <w:r w:rsidRPr="00B177B2">
                <w:rPr>
                  <w:noProof/>
                  <w:color w:val="000000" w:themeColor="text1"/>
                </w:rPr>
                <w:instrText xml:space="preserve"> ADDIN ZOTERO_BIBL {"uncited":[],"omitted":[],"custom":[]} CSL_BIBLIOGRAPHY </w:instrText>
              </w:r>
              <w:r w:rsidRPr="00B177B2">
                <w:rPr>
                  <w:noProof/>
                  <w:color w:val="000000" w:themeColor="text1"/>
                </w:rPr>
                <w:fldChar w:fldCharType="separate"/>
              </w:r>
              <w:r w:rsidRPr="00B177B2">
                <w:rPr>
                  <w:color w:val="000000" w:themeColor="text1"/>
                </w:rPr>
                <w:t>Cardena</w:t>
              </w:r>
              <w:r w:rsidRPr="00B177B2">
                <w:rPr>
                  <w:color w:val="000000" w:themeColor="text1"/>
                </w:rPr>
                <w:t xml:space="preserve">s, S. (2019). Guilt. Punishment. Justice, but is it really? </w:t>
              </w:r>
              <w:r w:rsidRPr="00B177B2">
                <w:rPr>
                  <w:i/>
                  <w:iCs/>
                  <w:color w:val="000000" w:themeColor="text1"/>
                </w:rPr>
                <w:t>FAU Undergraduate Law Journal</w:t>
              </w:r>
              <w:r w:rsidRPr="00B177B2">
                <w:rPr>
                  <w:color w:val="000000" w:themeColor="text1"/>
                </w:rPr>
                <w:t xml:space="preserve">, </w:t>
              </w:r>
              <w:r w:rsidRPr="00B177B2">
                <w:rPr>
                  <w:i/>
                  <w:iCs/>
                  <w:color w:val="000000" w:themeColor="text1"/>
                </w:rPr>
                <w:t>1</w:t>
              </w:r>
              <w:r w:rsidRPr="00B177B2">
                <w:rPr>
                  <w:color w:val="000000" w:themeColor="text1"/>
                </w:rPr>
                <w:t>, 15.</w:t>
              </w:r>
            </w:p>
            <w:p w14:paraId="2F77AEC4" w14:textId="77777777" w:rsidR="00B177B2" w:rsidRPr="00B177B2" w:rsidRDefault="00424A5F" w:rsidP="00B177B2">
              <w:pPr>
                <w:pStyle w:val="Bibliography"/>
                <w:rPr>
                  <w:color w:val="000000" w:themeColor="text1"/>
                </w:rPr>
              </w:pPr>
              <w:r w:rsidRPr="00B177B2">
                <w:rPr>
                  <w:color w:val="000000" w:themeColor="text1"/>
                </w:rPr>
                <w:t xml:space="preserve">Mahoney, A. (2019). How Failure to Protect Laws Punish the Vulnerable. </w:t>
              </w:r>
              <w:r w:rsidRPr="00B177B2">
                <w:rPr>
                  <w:i/>
                  <w:iCs/>
                  <w:color w:val="000000" w:themeColor="text1"/>
                </w:rPr>
                <w:t>Health Matrix</w:t>
              </w:r>
              <w:r w:rsidRPr="00B177B2">
                <w:rPr>
                  <w:color w:val="000000" w:themeColor="text1"/>
                </w:rPr>
                <w:t xml:space="preserve">, </w:t>
              </w:r>
              <w:r w:rsidRPr="00B177B2">
                <w:rPr>
                  <w:i/>
                  <w:iCs/>
                  <w:color w:val="000000" w:themeColor="text1"/>
                </w:rPr>
                <w:t>29</w:t>
              </w:r>
              <w:r w:rsidRPr="00B177B2">
                <w:rPr>
                  <w:color w:val="000000" w:themeColor="text1"/>
                </w:rPr>
                <w:t>, 429.</w:t>
              </w:r>
            </w:p>
            <w:p w14:paraId="1D7850B3" w14:textId="77777777" w:rsidR="00B177B2" w:rsidRPr="00B177B2" w:rsidRDefault="00424A5F" w:rsidP="00B177B2">
              <w:pPr>
                <w:pStyle w:val="Bibliography"/>
                <w:rPr>
                  <w:color w:val="000000" w:themeColor="text1"/>
                </w:rPr>
              </w:pPr>
              <w:r w:rsidRPr="00B177B2">
                <w:rPr>
                  <w:color w:val="000000" w:themeColor="text1"/>
                </w:rPr>
                <w:t xml:space="preserve">Westlund, A. C. (2018). Answerability without Blame? </w:t>
              </w:r>
              <w:r w:rsidRPr="00B177B2">
                <w:rPr>
                  <w:i/>
                  <w:iCs/>
                  <w:color w:val="000000" w:themeColor="text1"/>
                </w:rPr>
                <w:t>Social Dim</w:t>
              </w:r>
              <w:r w:rsidRPr="00B177B2">
                <w:rPr>
                  <w:i/>
                  <w:iCs/>
                  <w:color w:val="000000" w:themeColor="text1"/>
                </w:rPr>
                <w:t>ensions of Moral Responsibility</w:t>
              </w:r>
              <w:r w:rsidRPr="00B177B2">
                <w:rPr>
                  <w:color w:val="000000" w:themeColor="text1"/>
                </w:rPr>
                <w:t>, 253.</w:t>
              </w:r>
            </w:p>
            <w:p w14:paraId="44FA6DD3" w14:textId="11A81222" w:rsidR="009D1AE9" w:rsidRDefault="00424A5F" w:rsidP="00B177B2">
              <w:pPr>
                <w:pStyle w:val="Bibliography"/>
                <w:rPr>
                  <w:noProof/>
                </w:rPr>
              </w:pPr>
              <w:r w:rsidRPr="00B177B2">
                <w:rPr>
                  <w:noProof/>
                  <w:color w:val="000000" w:themeColor="text1"/>
                </w:rPr>
                <w:fldChar w:fldCharType="end"/>
              </w:r>
            </w:p>
            <w:p w14:paraId="0308C54A" w14:textId="56540AE6" w:rsidR="009D1AE9" w:rsidRDefault="00424A5F" w:rsidP="009D1AE9">
              <w:r>
                <w:rPr>
                  <w:b/>
                  <w:bCs/>
                  <w:noProof/>
                </w:rPr>
                <w:fldChar w:fldCharType="end"/>
              </w:r>
            </w:p>
          </w:sdtContent>
        </w:sdt>
      </w:sdtContent>
    </w:sdt>
    <w:p w14:paraId="4F569008" w14:textId="187D180A" w:rsidR="00C63999" w:rsidRPr="0027447E" w:rsidRDefault="00C63999" w:rsidP="004B099C">
      <w:pPr>
        <w:rPr>
          <w:color w:val="FF0000"/>
        </w:rPr>
      </w:pPr>
    </w:p>
    <w:sectPr w:rsidR="00C63999" w:rsidRPr="0027447E" w:rsidSect="00975A25">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6BAF8" w14:textId="77777777" w:rsidR="00424A5F" w:rsidRDefault="00424A5F">
      <w:pPr>
        <w:spacing w:line="240" w:lineRule="auto"/>
      </w:pPr>
      <w:r>
        <w:separator/>
      </w:r>
    </w:p>
  </w:endnote>
  <w:endnote w:type="continuationSeparator" w:id="0">
    <w:p w14:paraId="6DE498E8" w14:textId="77777777" w:rsidR="00424A5F" w:rsidRDefault="00424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396A" w14:textId="77777777" w:rsidR="00B177B2" w:rsidRDefault="00B17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C9132" w14:textId="77777777" w:rsidR="00B177B2" w:rsidRDefault="00B17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AE23" w14:textId="77777777" w:rsidR="00B177B2" w:rsidRDefault="00B1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231D" w14:textId="77777777" w:rsidR="00424A5F" w:rsidRDefault="00424A5F">
      <w:pPr>
        <w:spacing w:line="240" w:lineRule="auto"/>
      </w:pPr>
      <w:r>
        <w:separator/>
      </w:r>
    </w:p>
  </w:footnote>
  <w:footnote w:type="continuationSeparator" w:id="0">
    <w:p w14:paraId="3371582F" w14:textId="77777777" w:rsidR="00424A5F" w:rsidRDefault="00424A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F521" w14:textId="77777777" w:rsidR="00B177B2" w:rsidRDefault="00B17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58146CB" w:rsidR="00E81978" w:rsidRDefault="00424A5F" w:rsidP="004B099C">
    <w:pPr>
      <w:pStyle w:val="Header"/>
    </w:pPr>
    <w:r>
      <w:t>ASSIGNMENT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A41C6">
      <w:rPr>
        <w:rStyle w:val="Strong"/>
        <w:noProof/>
      </w:rPr>
      <w:t>4</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7DA4BCC" w:rsidR="00E81978" w:rsidRDefault="00424A5F" w:rsidP="004B099C">
    <w:pPr>
      <w:pStyle w:val="Header"/>
      <w:rPr>
        <w:rStyle w:val="Strong"/>
      </w:rPr>
    </w:pPr>
    <w:r>
      <w:t>Running head:</w:t>
    </w:r>
    <w:r w:rsidR="00B177B2">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CA41C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24A5F"/>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7F6E09"/>
    <w:rsid w:val="008002C0"/>
    <w:rsid w:val="00807261"/>
    <w:rsid w:val="008347F8"/>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177B2"/>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41C6"/>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0C39"/>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9D8B61A-57CF-4F28-968D-F4D7D403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2</cp:revision>
  <dcterms:created xsi:type="dcterms:W3CDTF">2019-11-23T13:39:00Z</dcterms:created>
  <dcterms:modified xsi:type="dcterms:W3CDTF">2019-11-23T13:39:00Z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id="DoSEvMg3"/&gt;&lt;style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