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Pr="00730D0E" w:rsidRDefault="002A2A03" w:rsidP="00730D0E">
      <w:bookmarkStart w:id="0" w:name="_GoBack"/>
      <w:bookmarkEnd w:id="0"/>
    </w:p>
    <w:p w:rsidR="002A2A03" w:rsidRPr="00730D0E" w:rsidRDefault="002A2A03" w:rsidP="00730D0E">
      <w:pPr>
        <w:ind w:firstLine="0"/>
      </w:pPr>
    </w:p>
    <w:p w:rsidR="002A2A03" w:rsidRPr="00730D0E" w:rsidRDefault="002A2A03" w:rsidP="00730D0E"/>
    <w:p w:rsidR="002A2A03" w:rsidRPr="00730D0E" w:rsidRDefault="002A2A03" w:rsidP="00730D0E"/>
    <w:p w:rsidR="002A2A03" w:rsidRPr="00730D0E" w:rsidRDefault="002A2A03" w:rsidP="00730D0E">
      <w:pPr>
        <w:jc w:val="center"/>
      </w:pPr>
    </w:p>
    <w:p w:rsidR="00FC48E3" w:rsidRDefault="00A04692" w:rsidP="00730D0E">
      <w:pPr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Compensation Plan</w:t>
      </w:r>
    </w:p>
    <w:p w:rsidR="002A2A03" w:rsidRPr="00730D0E" w:rsidRDefault="00A04692" w:rsidP="00730D0E">
      <w:pPr>
        <w:jc w:val="center"/>
      </w:pPr>
      <w:r>
        <w:t>Tracy</w:t>
      </w:r>
      <w:r w:rsidR="005832ED" w:rsidRPr="00730D0E">
        <w:t xml:space="preserve"> (</w:t>
      </w:r>
      <w:r w:rsidRPr="00730D0E">
        <w:t>First M. Last)</w:t>
      </w:r>
    </w:p>
    <w:p w:rsidR="002A2A03" w:rsidRPr="00730D0E" w:rsidRDefault="00A04692" w:rsidP="00730D0E">
      <w:pPr>
        <w:jc w:val="center"/>
      </w:pPr>
      <w:r w:rsidRPr="00730D0E">
        <w:t>School or Institution Name (University at Place or Town, State)</w:t>
      </w:r>
    </w:p>
    <w:p w:rsidR="002A2A03" w:rsidRPr="00730D0E" w:rsidRDefault="002A2A03" w:rsidP="00730D0E">
      <w:pPr>
        <w:ind w:firstLine="0"/>
      </w:pPr>
    </w:p>
    <w:p w:rsidR="00CA38D8" w:rsidRPr="00730D0E" w:rsidRDefault="00CA38D8" w:rsidP="00730D0E">
      <w:pPr>
        <w:tabs>
          <w:tab w:val="left" w:pos="90"/>
        </w:tabs>
        <w:ind w:firstLine="0"/>
      </w:pPr>
    </w:p>
    <w:p w:rsidR="00EC507D" w:rsidRPr="00730D0E" w:rsidRDefault="00EC507D" w:rsidP="00730D0E">
      <w:pPr>
        <w:tabs>
          <w:tab w:val="left" w:pos="90"/>
        </w:tabs>
        <w:ind w:firstLine="0"/>
      </w:pPr>
    </w:p>
    <w:p w:rsidR="00EC507D" w:rsidRPr="00730D0E" w:rsidRDefault="00EC507D" w:rsidP="00730D0E">
      <w:pPr>
        <w:tabs>
          <w:tab w:val="left" w:pos="90"/>
        </w:tabs>
        <w:ind w:firstLine="0"/>
      </w:pPr>
    </w:p>
    <w:p w:rsidR="00EC507D" w:rsidRPr="00730D0E" w:rsidRDefault="00EC507D" w:rsidP="00730D0E">
      <w:pPr>
        <w:tabs>
          <w:tab w:val="left" w:pos="90"/>
        </w:tabs>
        <w:ind w:firstLine="0"/>
      </w:pPr>
    </w:p>
    <w:p w:rsidR="00EC507D" w:rsidRPr="00730D0E" w:rsidRDefault="00EC507D" w:rsidP="00730D0E">
      <w:pPr>
        <w:tabs>
          <w:tab w:val="left" w:pos="90"/>
        </w:tabs>
        <w:ind w:firstLine="0"/>
      </w:pPr>
    </w:p>
    <w:p w:rsidR="00EC507D" w:rsidRPr="00730D0E" w:rsidRDefault="00EC507D" w:rsidP="00730D0E">
      <w:pPr>
        <w:tabs>
          <w:tab w:val="left" w:pos="90"/>
        </w:tabs>
        <w:ind w:firstLine="0"/>
      </w:pPr>
    </w:p>
    <w:p w:rsidR="00EC507D" w:rsidRPr="00730D0E" w:rsidRDefault="00EC507D" w:rsidP="00730D0E">
      <w:pPr>
        <w:tabs>
          <w:tab w:val="left" w:pos="90"/>
        </w:tabs>
        <w:ind w:firstLine="0"/>
      </w:pPr>
    </w:p>
    <w:p w:rsidR="00EC507D" w:rsidRPr="00730D0E" w:rsidRDefault="00EC507D" w:rsidP="00730D0E">
      <w:pPr>
        <w:tabs>
          <w:tab w:val="left" w:pos="90"/>
        </w:tabs>
        <w:ind w:firstLine="0"/>
      </w:pPr>
    </w:p>
    <w:p w:rsidR="00EC507D" w:rsidRPr="00730D0E" w:rsidRDefault="00EC507D" w:rsidP="00730D0E">
      <w:pPr>
        <w:tabs>
          <w:tab w:val="left" w:pos="90"/>
        </w:tabs>
        <w:ind w:firstLine="0"/>
      </w:pPr>
    </w:p>
    <w:p w:rsidR="00EC507D" w:rsidRPr="00730D0E" w:rsidRDefault="00EC507D" w:rsidP="00730D0E">
      <w:pPr>
        <w:tabs>
          <w:tab w:val="left" w:pos="90"/>
        </w:tabs>
        <w:ind w:firstLine="0"/>
      </w:pPr>
    </w:p>
    <w:p w:rsidR="00EC507D" w:rsidRPr="00730D0E" w:rsidRDefault="00EC507D" w:rsidP="00730D0E">
      <w:pPr>
        <w:tabs>
          <w:tab w:val="left" w:pos="90"/>
        </w:tabs>
        <w:ind w:firstLine="0"/>
      </w:pPr>
    </w:p>
    <w:p w:rsidR="00EC507D" w:rsidRPr="00730D0E" w:rsidRDefault="00EC507D" w:rsidP="00730D0E">
      <w:pPr>
        <w:tabs>
          <w:tab w:val="left" w:pos="90"/>
        </w:tabs>
        <w:ind w:firstLine="0"/>
      </w:pPr>
    </w:p>
    <w:p w:rsidR="00EC507D" w:rsidRPr="00730D0E" w:rsidRDefault="00EC507D" w:rsidP="00730D0E">
      <w:pPr>
        <w:tabs>
          <w:tab w:val="left" w:pos="90"/>
        </w:tabs>
        <w:ind w:firstLine="0"/>
      </w:pPr>
    </w:p>
    <w:p w:rsidR="00F8440D" w:rsidRPr="00730D0E" w:rsidRDefault="00A04692" w:rsidP="00730D0E">
      <w:pPr>
        <w:ind w:firstLine="0"/>
        <w:rPr>
          <w:color w:val="222222"/>
          <w:shd w:val="clear" w:color="auto" w:fill="FFFFFF"/>
        </w:rPr>
      </w:pPr>
      <w:r w:rsidRPr="00730D0E">
        <w:rPr>
          <w:color w:val="222222"/>
          <w:shd w:val="clear" w:color="auto" w:fill="FFFFFF"/>
        </w:rPr>
        <w:tab/>
      </w:r>
    </w:p>
    <w:p w:rsidR="008356A0" w:rsidRDefault="00A04692" w:rsidP="009A222D">
      <w:r>
        <w:lastRenderedPageBreak/>
        <w:t xml:space="preserve">Total Rewards consists of monetary and non-monetary rewards </w:t>
      </w:r>
      <w:r w:rsidR="00A44293">
        <w:t>provided</w:t>
      </w:r>
      <w:r>
        <w:t xml:space="preserve"> </w:t>
      </w:r>
      <w:r w:rsidR="00A45555">
        <w:t xml:space="preserve">by companies to attract, retain and motivate </w:t>
      </w:r>
      <w:r w:rsidR="00237058">
        <w:t>their staff</w:t>
      </w:r>
      <w:r w:rsidR="00D14A27">
        <w:t xml:space="preserve"> </w:t>
      </w:r>
      <w:r w:rsidR="00D14A27">
        <w:fldChar w:fldCharType="begin"/>
      </w:r>
      <w:r w:rsidR="00D14A27">
        <w:instrText xml:space="preserve"> ADDIN ZOTERO_ITEM CSL_CITATION {"citationID":"a200uuo513h","properties":{"formattedCitation":"(Mathis &amp; Jackson, 2011)","plainCitation":"(Mathis &amp; Jackson, 2011)"},"citationItems":[{"id":1050,"uris":["http://zotero.org/users/local/FGhKhGPG/items/PM6I8K2L"],"uri":["http://zotero.org/users/local/FGhKhGPG/items/PM6I8K2L"],"itemData":{"id":1050,"type":"book","title":"Human resource management: Essential perspectives","publisher":"Cengage Learning","ISBN":"0-538-48170-6","author":[{"family":"Mathis","given":"Robert L."},{"family":"Jackson","given":"John H."}],"issued":{"date-parts":[["2011"]]}}}],"schema":"https://github.com/citation-style-language/schema/raw/master/csl-citation.json"} </w:instrText>
      </w:r>
      <w:r w:rsidR="00D14A27">
        <w:fldChar w:fldCharType="separate"/>
      </w:r>
      <w:r w:rsidR="00D14A27" w:rsidRPr="00D14A27">
        <w:t>(Mathis &amp; Jackson, 2011)</w:t>
      </w:r>
      <w:r w:rsidR="00D14A27">
        <w:fldChar w:fldCharType="end"/>
      </w:r>
      <w:r w:rsidR="00237058">
        <w:t xml:space="preserve">. This program is aimed at aligning the business goals and objectives with </w:t>
      </w:r>
      <w:r w:rsidR="003069E2">
        <w:t>employee’s</w:t>
      </w:r>
      <w:r w:rsidR="00237058">
        <w:t xml:space="preserve"> rewards and recognition programs to achieve the business objectives effectively. This paper aims at designing a total </w:t>
      </w:r>
      <w:r w:rsidR="003069E2">
        <w:t>compensation</w:t>
      </w:r>
      <w:r w:rsidR="00237058">
        <w:t xml:space="preserve"> and reward program </w:t>
      </w:r>
      <w:r w:rsidR="003069E2">
        <w:t>consisting</w:t>
      </w:r>
      <w:r w:rsidR="00237058">
        <w:t xml:space="preserve"> of all the </w:t>
      </w:r>
      <w:r w:rsidR="003069E2">
        <w:t>essential</w:t>
      </w:r>
      <w:r w:rsidR="00237058">
        <w:t xml:space="preserve"> elements that an organization has to include in their reward program</w:t>
      </w:r>
      <w:r w:rsidR="003069E2">
        <w:t xml:space="preserve">. </w:t>
      </w:r>
    </w:p>
    <w:p w:rsidR="00235CE5" w:rsidRPr="00235CE5" w:rsidRDefault="00A04692" w:rsidP="00235CE5">
      <w:pPr>
        <w:jc w:val="center"/>
        <w:rPr>
          <w:b/>
        </w:rPr>
      </w:pPr>
      <w:r w:rsidRPr="00235CE5">
        <w:rPr>
          <w:b/>
        </w:rPr>
        <w:t>Total Reward and Compensation Program</w:t>
      </w:r>
    </w:p>
    <w:p w:rsidR="003069E2" w:rsidRDefault="00A04692" w:rsidP="003069E2">
      <w:r>
        <w:t>The typical total compensation plan consists of compensation, benefits and performance and talent management programs.</w:t>
      </w:r>
    </w:p>
    <w:p w:rsidR="00C6094A" w:rsidRPr="00C6094A" w:rsidRDefault="00A04692" w:rsidP="003069E2">
      <w:pPr>
        <w:rPr>
          <w:b/>
        </w:rPr>
      </w:pPr>
      <w:r w:rsidRPr="00C6094A">
        <w:rPr>
          <w:b/>
        </w:rPr>
        <w:t>Compensation</w:t>
      </w:r>
    </w:p>
    <w:p w:rsidR="00155A81" w:rsidRDefault="00A04692" w:rsidP="003069E2">
      <w:r>
        <w:t>The first element of the program is compensation. The employees are entitled to receive fixed as well as variable compensation. Each employee is eligible for:</w:t>
      </w:r>
    </w:p>
    <w:p w:rsidR="00155A81" w:rsidRDefault="00A04692" w:rsidP="00155A81">
      <w:r>
        <w:t>Base Pay: Fixed salary or basic compensation that an employee receives</w:t>
      </w:r>
      <w:r w:rsidR="00FA7AC9">
        <w:t>. Base pay must be decided on the basis of thorough analysis of an individual’s job responsibilities, job content, qualification and experience and salary range</w:t>
      </w:r>
      <w:r w:rsidR="00B22ECF">
        <w:t xml:space="preserve"> </w:t>
      </w:r>
      <w:r w:rsidR="00B22ECF">
        <w:fldChar w:fldCharType="begin"/>
      </w:r>
      <w:r w:rsidR="00B22ECF">
        <w:instrText xml:space="preserve"> ADDIN ZOTERO_ITEM CSL_CITATION {"citationID":"a8u3p4mca3","properties":{"formattedCitation":"{\\rtf (\\uc0\\u8220{}The Total Compensation Plan \\uc0\\u8211{} Human Resources in the Food Service and Hospitality Industry,\\uc0\\u8221{} n.d.)}","plainCitation":"(“The Total Compensation Plan – Human Resources in the Food Service and Hospitality Industry,” n.d.)"},"citationItems":[{"id":1044,"uris":["http://zotero.org/users/local/FGhKhGPG/items/GDINEHZD"],"uri":["http://zotero.org/users/local/FGhKhGPG/items/GDINEHZD"],"itemData":{"id":1044,"type":"webpage","title":"The Total Compensation Plan – Human Resources in the Food Service and Hospitality Industry","URL":"https://opentextbc.ca/humanresourcesinfoodservices/chapter/the-total-compensation-plan/","accessed":{"date-parts":[["2019",1,26]]}}}],"schema":"https://github.com/citation-style-language/schema/raw/master/csl-citation.json"} </w:instrText>
      </w:r>
      <w:r w:rsidR="00B22ECF">
        <w:fldChar w:fldCharType="separate"/>
      </w:r>
      <w:r w:rsidR="00B22ECF" w:rsidRPr="00B22ECF">
        <w:t>(“The Total Compensation Plan – Human Resources in the Food Service and Hospitality Industry,” n.d.)</w:t>
      </w:r>
      <w:r w:rsidR="00B22ECF">
        <w:fldChar w:fldCharType="end"/>
      </w:r>
      <w:r w:rsidR="00FA7AC9">
        <w:t xml:space="preserve">. </w:t>
      </w:r>
    </w:p>
    <w:p w:rsidR="00155A81" w:rsidRDefault="00A04692" w:rsidP="00155A81">
      <w:r>
        <w:t xml:space="preserve">Variable Pay: Bonus depending on employee performance. </w:t>
      </w:r>
      <w:r w:rsidR="006B53A8">
        <w:t>It would be in terms of cash.</w:t>
      </w:r>
    </w:p>
    <w:p w:rsidR="00155A81" w:rsidRDefault="00A04692" w:rsidP="00155A81">
      <w:r>
        <w:t xml:space="preserve">Tenure Bonus: Eligible for employees who have completed </w:t>
      </w:r>
      <w:r w:rsidR="004D504F">
        <w:t>a tenure of one year depending on the job description</w:t>
      </w:r>
      <w:r w:rsidR="006B53A8">
        <w:t xml:space="preserve">. This is a retention bonus. </w:t>
      </w:r>
    </w:p>
    <w:p w:rsidR="004D504F" w:rsidRDefault="00A04692" w:rsidP="00155A81">
      <w:r>
        <w:t xml:space="preserve">Long-term Bonus: </w:t>
      </w:r>
      <w:r w:rsidR="000E6B29">
        <w:t xml:space="preserve">Employee who have completed </w:t>
      </w:r>
      <w:r w:rsidR="003907C6">
        <w:t>more than a year in the organization. The options that can be offered are cash, performance shares or restricted shares.</w:t>
      </w:r>
    </w:p>
    <w:p w:rsidR="005C529C" w:rsidRDefault="00A04692" w:rsidP="00155A81">
      <w:r>
        <w:t xml:space="preserve">Increase in Pay: </w:t>
      </w:r>
      <w:r w:rsidR="006B53A8">
        <w:t>realistic increase in pay if the employee has served the organization or more than one year.</w:t>
      </w:r>
    </w:p>
    <w:p w:rsidR="00C6094A" w:rsidRPr="00C6094A" w:rsidRDefault="00A04692" w:rsidP="00155A81">
      <w:pPr>
        <w:rPr>
          <w:b/>
        </w:rPr>
      </w:pPr>
      <w:r w:rsidRPr="00C6094A">
        <w:rPr>
          <w:b/>
        </w:rPr>
        <w:lastRenderedPageBreak/>
        <w:t xml:space="preserve">Benefits </w:t>
      </w:r>
    </w:p>
    <w:p w:rsidR="00BC1F24" w:rsidRDefault="00A04692" w:rsidP="00155A81">
      <w:r>
        <w:t>The second thing to be included in the plan is Benefits, an indirect way of giving rewards to employees</w:t>
      </w:r>
      <w:r w:rsidR="00D14A27">
        <w:t xml:space="preserve"> which contributes to organizational commitment </w:t>
      </w:r>
      <w:r w:rsidR="00D14A27">
        <w:fldChar w:fldCharType="begin"/>
      </w:r>
      <w:r w:rsidR="00D14A27">
        <w:instrText xml:space="preserve"> ADDIN ZOTERO_ITEM CSL_CITATION {"citationID":"a28mhs9o65i","properties":{"formattedCitation":"(Ju, Kong, Hussin, &amp; Jusoff, 2009)","plainCitation":"(Ju, Kong, Hussin, &amp; Jusoff, 2009)"},"citationItems":[{"id":1049,"uris":["http://zotero.org/users/local/FGhKhGPG/items/7UVUHCUZ"],"uri":["http://zotero.org/users/local/FGhKhGPG/items/7UVUHCUZ"],"itemData":{"id":1049,"type":"article-journal","title":"The influence of employee benefits towards organizational commitment","container-title":"Asian social science","page":"147","volume":"4","issue":"8","author":[{"family":"Ju","given":"SoonYew"},{"family":"Kong","given":"LaiKuan"},{"family":"Hussin","given":"Zaliha Hj"},{"family":"Jusoff","given":"Kamaruzaman"}],"issued":{"date-parts":[["2009"]]}}}],"schema":"https://github.com/citation-style-language/schema/raw/master/csl-citation.json"} </w:instrText>
      </w:r>
      <w:r w:rsidR="00D14A27">
        <w:fldChar w:fldCharType="separate"/>
      </w:r>
      <w:r w:rsidR="00D14A27" w:rsidRPr="00D14A27">
        <w:t>(Ju, Kong, Hussin, &amp; Jusoff, 2009)</w:t>
      </w:r>
      <w:r w:rsidR="00D14A27">
        <w:fldChar w:fldCharType="end"/>
      </w:r>
      <w:r>
        <w:t>. Employees are eligible for</w:t>
      </w:r>
      <w:r w:rsidR="009B7336">
        <w:t xml:space="preserve"> these</w:t>
      </w:r>
      <w:r>
        <w:t xml:space="preserve"> benefits regardless of their performance. </w:t>
      </w:r>
      <w:r w:rsidR="008D0477">
        <w:t>As these benefits are expensive to offer, they must be evaluated before implementation and consulted with an external party.</w:t>
      </w:r>
    </w:p>
    <w:p w:rsidR="009B7336" w:rsidRDefault="00A04692" w:rsidP="00155A81">
      <w:r>
        <w:t xml:space="preserve">Health care Benefits: </w:t>
      </w:r>
      <w:r w:rsidR="00E82DB5">
        <w:t xml:space="preserve">Medical insurance </w:t>
      </w:r>
      <w:r w:rsidR="0059662F">
        <w:t xml:space="preserve">including the dental insurance </w:t>
      </w:r>
      <w:r w:rsidR="00E82DB5">
        <w:t>administered by a reputed health insurance company.</w:t>
      </w:r>
      <w:r w:rsidR="00A054CB">
        <w:t xml:space="preserve"> Life and accidental insurance plans covered by the same insurance company. </w:t>
      </w:r>
    </w:p>
    <w:p w:rsidR="009B7336" w:rsidRDefault="00A04692" w:rsidP="00155A81">
      <w:r>
        <w:t>Paid time off:</w:t>
      </w:r>
      <w:r w:rsidR="002B0D1F">
        <w:t xml:space="preserve"> Offering 3 paid leaves in a month and other leaves such as maternity leave considering the US employment and labor laws. </w:t>
      </w:r>
      <w:r w:rsidR="00A36D46">
        <w:t xml:space="preserve">The paid time off hours will be determined by the years of services. </w:t>
      </w:r>
    </w:p>
    <w:p w:rsidR="009B7336" w:rsidRDefault="00A04692" w:rsidP="00155A81">
      <w:r>
        <w:t>Retirement Plan:</w:t>
      </w:r>
      <w:r w:rsidR="00EA3613">
        <w:t xml:space="preserve"> </w:t>
      </w:r>
      <w:r w:rsidR="003C024B">
        <w:t xml:space="preserve">offer a savings retirement plan for employees. </w:t>
      </w:r>
    </w:p>
    <w:p w:rsidR="008E22A4" w:rsidRDefault="00A04692" w:rsidP="00155A81">
      <w:r>
        <w:t xml:space="preserve">Facility to access gyms and other health care centers </w:t>
      </w:r>
      <w:r w:rsidR="0059662F">
        <w:t>on discounts</w:t>
      </w:r>
      <w:r w:rsidR="008743E8">
        <w:t xml:space="preserve">. </w:t>
      </w:r>
    </w:p>
    <w:p w:rsidR="008743E8" w:rsidRDefault="00A04692" w:rsidP="003C024B">
      <w:r>
        <w:t xml:space="preserve">Workplace flexibility: </w:t>
      </w:r>
      <w:r w:rsidR="00CC5693">
        <w:t xml:space="preserve">Work from home benefits for experienced employees who have worked for more than 6 months </w:t>
      </w:r>
    </w:p>
    <w:p w:rsidR="005D28A4" w:rsidRDefault="00A04692" w:rsidP="003C024B">
      <w:pPr>
        <w:rPr>
          <w:b/>
        </w:rPr>
      </w:pPr>
      <w:r w:rsidRPr="005D28A4">
        <w:rPr>
          <w:b/>
        </w:rPr>
        <w:t>Performance</w:t>
      </w:r>
      <w:r w:rsidR="0027263C">
        <w:rPr>
          <w:b/>
        </w:rPr>
        <w:t>-Based</w:t>
      </w:r>
      <w:r w:rsidRPr="005D28A4">
        <w:rPr>
          <w:b/>
        </w:rPr>
        <w:t xml:space="preserve"> Award</w:t>
      </w:r>
      <w:r w:rsidR="0027263C">
        <w:rPr>
          <w:b/>
        </w:rPr>
        <w:t>s</w:t>
      </w:r>
    </w:p>
    <w:p w:rsidR="0027263C" w:rsidRPr="0027263C" w:rsidRDefault="00A04692" w:rsidP="003C024B">
      <w:r w:rsidRPr="0027263C">
        <w:t xml:space="preserve">These rewards are based on the performance of employees and can be in the form of cash or non-cash benefits </w:t>
      </w:r>
    </w:p>
    <w:p w:rsidR="00857031" w:rsidRPr="00857031" w:rsidRDefault="00A04692" w:rsidP="003C024B">
      <w:r>
        <w:t>Awards for an employee for the</w:t>
      </w:r>
      <w:r w:rsidR="005D28A4">
        <w:t xml:space="preserve"> month</w:t>
      </w:r>
      <w:r w:rsidR="00C25FAE">
        <w:t xml:space="preserve"> </w:t>
      </w:r>
      <w:r w:rsidR="005D28A4">
        <w:t>/ year</w:t>
      </w:r>
    </w:p>
    <w:p w:rsidR="00857031" w:rsidRDefault="00A04692" w:rsidP="003C024B">
      <w:r>
        <w:t>Appreciation Notes and Emails to the performing employees</w:t>
      </w:r>
    </w:p>
    <w:p w:rsidR="00857027" w:rsidRPr="008743E8" w:rsidRDefault="00A04692" w:rsidP="003C024B">
      <w:r>
        <w:t>Exceeding performance awards</w:t>
      </w:r>
      <w:r w:rsidR="005D28A4">
        <w:t xml:space="preserve"> in the form of cash or pay raise </w:t>
      </w:r>
    </w:p>
    <w:p w:rsidR="00E82DB5" w:rsidRDefault="00A04692" w:rsidP="00155A81">
      <w:pPr>
        <w:rPr>
          <w:b/>
        </w:rPr>
      </w:pPr>
      <w:r w:rsidRPr="008E22A4">
        <w:rPr>
          <w:b/>
        </w:rPr>
        <w:t xml:space="preserve">Career development and Talent Management </w:t>
      </w:r>
    </w:p>
    <w:p w:rsidR="00C25FAE" w:rsidRDefault="00A04692" w:rsidP="00155A81">
      <w:r>
        <w:lastRenderedPageBreak/>
        <w:t>Internships:</w:t>
      </w:r>
      <w:r w:rsidR="000569A0">
        <w:t xml:space="preserve"> </w:t>
      </w:r>
      <w:r w:rsidR="00E054EB">
        <w:t xml:space="preserve">offering internships in international organizations according to the job description of employees </w:t>
      </w:r>
    </w:p>
    <w:p w:rsidR="00C25FAE" w:rsidRDefault="00A04692" w:rsidP="00B22ECF">
      <w:r>
        <w:t>Training and Management</w:t>
      </w:r>
      <w:r w:rsidR="008E58FD">
        <w:t xml:space="preserve"> Programs for employees depending on job needs and description</w:t>
      </w:r>
    </w:p>
    <w:p w:rsidR="00B22ECF" w:rsidRDefault="00A04692" w:rsidP="00B22ECF">
      <w:r>
        <w:t xml:space="preserve">Seminars and Workshops for employees: </w:t>
      </w:r>
      <w:r w:rsidR="00CB373B">
        <w:t xml:space="preserve">workshops for skills development </w:t>
      </w:r>
      <w:r w:rsidR="00567438">
        <w:t>of employees such as soft skills and technical skills</w:t>
      </w:r>
    </w:p>
    <w:p w:rsidR="00E82DB5" w:rsidRDefault="00A04692" w:rsidP="00EC7120">
      <w:r>
        <w:t>Internal Promotions of employees based on their performance and job description of the new post</w:t>
      </w:r>
      <w:r w:rsidR="002A7F19">
        <w:t xml:space="preserve">. </w:t>
      </w:r>
    </w:p>
    <w:p w:rsidR="00EC7120" w:rsidRPr="000C0754" w:rsidRDefault="00A04692" w:rsidP="000C0754">
      <w:pPr>
        <w:jc w:val="center"/>
        <w:rPr>
          <w:b/>
        </w:rPr>
      </w:pPr>
      <w:r w:rsidRPr="000C0754">
        <w:rPr>
          <w:b/>
        </w:rPr>
        <w:t>Compensation Pie Chart</w:t>
      </w:r>
    </w:p>
    <w:p w:rsidR="000C0754" w:rsidRDefault="00AD60AA" w:rsidP="00EC7120">
      <w:r>
        <w:t xml:space="preserve">The compensation plan shows how the compensation is distributed among different elements of compensation plan. </w:t>
      </w:r>
    </w:p>
    <w:p w:rsidR="009B7336" w:rsidRDefault="00A04692" w:rsidP="006A74FA">
      <w:pPr>
        <w:ind w:firstLine="0"/>
        <w:jc w:val="center"/>
      </w:pPr>
      <w:r>
        <w:rPr>
          <w:noProof/>
        </w:rPr>
        <w:drawing>
          <wp:inline distT="0" distB="0" distL="0" distR="0">
            <wp:extent cx="4822629" cy="3619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074171" name="pie cha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7" b="1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83" cy="3623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665B" w:rsidRDefault="006C665B" w:rsidP="003A6D9E">
      <w:pPr>
        <w:ind w:firstLine="0"/>
        <w:jc w:val="center"/>
        <w:rPr>
          <w:b/>
        </w:rPr>
      </w:pPr>
    </w:p>
    <w:p w:rsidR="006C665B" w:rsidRDefault="006C665B" w:rsidP="003A6D9E">
      <w:pPr>
        <w:ind w:firstLine="0"/>
        <w:jc w:val="center"/>
        <w:rPr>
          <w:b/>
        </w:rPr>
      </w:pPr>
    </w:p>
    <w:p w:rsidR="00256129" w:rsidRPr="003A6D9E" w:rsidRDefault="00A04692" w:rsidP="003A6D9E">
      <w:pPr>
        <w:ind w:firstLine="0"/>
        <w:jc w:val="center"/>
        <w:rPr>
          <w:b/>
        </w:rPr>
      </w:pPr>
      <w:r w:rsidRPr="003A6D9E">
        <w:rPr>
          <w:b/>
        </w:rPr>
        <w:lastRenderedPageBreak/>
        <w:t>Implementation Plan</w:t>
      </w:r>
    </w:p>
    <w:p w:rsidR="003A6D9E" w:rsidRDefault="003A6D9E" w:rsidP="00FE7B25">
      <w:pPr>
        <w:jc w:val="center"/>
        <w:rPr>
          <w:b/>
          <w:noProof/>
        </w:rPr>
      </w:pPr>
    </w:p>
    <w:p w:rsidR="003A6D9E" w:rsidRDefault="00A04692" w:rsidP="00FE7B2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476750" cy="2219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548152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75" cy="221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B25" w:rsidRPr="0076067C" w:rsidRDefault="00A04692" w:rsidP="0076067C">
      <w:pPr>
        <w:jc w:val="center"/>
        <w:rPr>
          <w:b/>
        </w:rPr>
      </w:pPr>
      <w:r w:rsidRPr="00FE7B25">
        <w:rPr>
          <w:b/>
        </w:rPr>
        <w:t>Compensation Benchmarking</w:t>
      </w:r>
    </w:p>
    <w:p w:rsidR="0076067C" w:rsidRDefault="00A04692" w:rsidP="009A222D">
      <w:r>
        <w:t xml:space="preserve">Benchmarking is the process of identifying best practices and adapting them to improve your performance </w:t>
      </w:r>
      <w:r>
        <w:fldChar w:fldCharType="begin"/>
      </w:r>
      <w:r>
        <w:instrText xml:space="preserve"> ADDIN ZOTERO_ITEM CSL_CITATION {"citationID":"a2ksuvuc54n","properties":{"formattedCitation":"(Stapenhurst, 2009)","plainCitation":"(Stapenhurst, 2009)"},"citationItems":[{"id":1046,"uris":["http://zotero.org/users/local/FGhKhGPG/items/NHDAW9YE"],"uri":["http://zotero.org/users/local/FGhKhGPG/items/NHDAW9YE"],"itemData":{"id":1046,"type":"book","title":"The benchmarking book","publisher":"Routledge","ISBN":"1-136-43469-0","author":[{"family":"Stapenhurst","given":"Tim"}],"issued":{"date-parts":[["2009"]]}}}],"schema":"https://github.com/citation-style-language/schema/raw/master/csl-citation.json"} </w:instrText>
      </w:r>
      <w:r>
        <w:fldChar w:fldCharType="separate"/>
      </w:r>
      <w:r w:rsidRPr="002F2E52">
        <w:t>(Stapenhurst, 2009)</w:t>
      </w:r>
      <w:r>
        <w:fldChar w:fldCharType="end"/>
      </w:r>
      <w:r>
        <w:t xml:space="preserve">. Compensation Benchmarking is the process of using the internal job description to match to the established salary survey jobs with the aim to assess market rate </w:t>
      </w:r>
      <w:r w:rsidR="0018167A">
        <w:t xml:space="preserve">for every benchmark position in the market. </w:t>
      </w:r>
      <w:r w:rsidR="002B4ACD">
        <w:t xml:space="preserve">Compensation benchmarking </w:t>
      </w:r>
      <w:r w:rsidR="00375870">
        <w:t xml:space="preserve">helps an organization in identifying the market rate for the core positions. It is essential to guide the company </w:t>
      </w:r>
      <w:r w:rsidR="00485401">
        <w:t xml:space="preserve">in decision making regarding </w:t>
      </w:r>
      <w:r w:rsidR="00582FD4">
        <w:t>hiring</w:t>
      </w:r>
      <w:r w:rsidR="00485401">
        <w:t xml:space="preserve">, promotion and </w:t>
      </w:r>
      <w:r w:rsidR="00335450">
        <w:t xml:space="preserve">salary adjustments </w:t>
      </w:r>
      <w:r w:rsidR="003B2130">
        <w:t xml:space="preserve">and budget planning for compensation and benefits. </w:t>
      </w:r>
      <w:r w:rsidR="009F7B6F">
        <w:t>Labor cost is the highest for an</w:t>
      </w:r>
      <w:r w:rsidR="005446A8">
        <w:t>y</w:t>
      </w:r>
      <w:r w:rsidR="009F7B6F">
        <w:t xml:space="preserve"> organization</w:t>
      </w:r>
      <w:r>
        <w:t xml:space="preserve"> </w:t>
      </w:r>
      <w:r w:rsidR="001C38A5">
        <w:t xml:space="preserve">and hence understanding the obvious value for each position helps an organization determine to develop a total reward policy for maximum benefit. </w:t>
      </w:r>
      <w:r w:rsidR="00E65520">
        <w:t xml:space="preserve">It allows the leaders to identify the cost associated with compensation plans. </w:t>
      </w:r>
    </w:p>
    <w:p w:rsidR="00256129" w:rsidRPr="00FE7B25" w:rsidRDefault="00A04692" w:rsidP="00003AD2">
      <w:r w:rsidRPr="003A6D9E">
        <w:t xml:space="preserve">Without </w:t>
      </w:r>
      <w:r>
        <w:t xml:space="preserve">having </w:t>
      </w:r>
      <w:r w:rsidR="003A6D9E" w:rsidRPr="003A6D9E">
        <w:t xml:space="preserve">a </w:t>
      </w:r>
      <w:r w:rsidRPr="003A6D9E">
        <w:t>reasonable</w:t>
      </w:r>
      <w:r w:rsidR="003A6D9E" w:rsidRPr="003A6D9E">
        <w:t xml:space="preserve"> pay structure,</w:t>
      </w:r>
      <w:r>
        <w:t xml:space="preserve"> organizations do the effort to retain talented employees. Making large financial investments each year is not suitable for an organization</w:t>
      </w:r>
      <w:r w:rsidR="00003AD2">
        <w:t>. Therefore, compensation benchmarking is important to maintain the competitive edge.</w:t>
      </w:r>
    </w:p>
    <w:p w:rsidR="00827C0F" w:rsidRDefault="00A04692" w:rsidP="005E2E4D">
      <w:pPr>
        <w:ind w:firstLine="0"/>
        <w:jc w:val="center"/>
      </w:pPr>
      <w:r w:rsidRPr="003A6D9E">
        <w:rPr>
          <w:b/>
        </w:rPr>
        <w:t>The success</w:t>
      </w:r>
      <w:r w:rsidR="009A222D" w:rsidRPr="003A6D9E">
        <w:rPr>
          <w:b/>
        </w:rPr>
        <w:t xml:space="preserve"> of the </w:t>
      </w:r>
      <w:r w:rsidR="00CB181F" w:rsidRPr="003A6D9E">
        <w:rPr>
          <w:b/>
        </w:rPr>
        <w:t>Compensation Plan</w:t>
      </w:r>
    </w:p>
    <w:p w:rsidR="003A6D9E" w:rsidRDefault="00A04692" w:rsidP="009A222D">
      <w:r>
        <w:lastRenderedPageBreak/>
        <w:t xml:space="preserve">To measure the effectiveness of a </w:t>
      </w:r>
      <w:r w:rsidR="002C5434">
        <w:t>compensation</w:t>
      </w:r>
      <w:r>
        <w:t xml:space="preserve"> plan, </w:t>
      </w:r>
      <w:r w:rsidR="00A74EAB">
        <w:t xml:space="preserve">first of all, it is important to obtain data from the participants of the plan. </w:t>
      </w:r>
      <w:r w:rsidR="00287E0F">
        <w:t xml:space="preserve">This will help evaluate the plan that if it has worked or not. The effective compensation plan must be linked with the </w:t>
      </w:r>
      <w:r w:rsidR="000A61CF">
        <w:t>organizational</w:t>
      </w:r>
      <w:r w:rsidR="00287E0F">
        <w:t xml:space="preserve"> goals and objectives. If it is contributing towards the goals, the plan is effective. </w:t>
      </w:r>
      <w:r w:rsidR="008B4C50">
        <w:t xml:space="preserve">Obtain information regarding the results of the components of the plan </w:t>
      </w:r>
      <w:r w:rsidR="007334C1">
        <w:t xml:space="preserve">that if the components of the plan are contributing towards the desired results or not. </w:t>
      </w:r>
      <w:r w:rsidR="006A5DDF">
        <w:t xml:space="preserve">Monitoring the plan towards the desired objectives </w:t>
      </w:r>
      <w:r w:rsidR="00622CA8">
        <w:t>helps to measure the effectiveness of the plan. In addition, a cost-benefit analysis can be done with the Chief Financial Officer to measure the effectiveness of the plan.</w:t>
      </w:r>
    </w:p>
    <w:p w:rsidR="006A5DDF" w:rsidRDefault="006A5DDF" w:rsidP="009A222D"/>
    <w:p w:rsidR="006A5DDF" w:rsidRDefault="006A5DDF" w:rsidP="009A222D"/>
    <w:p w:rsidR="006A5DDF" w:rsidRDefault="006A5DDF" w:rsidP="009A222D"/>
    <w:p w:rsidR="006A5DDF" w:rsidRDefault="006A5DDF" w:rsidP="009A222D"/>
    <w:p w:rsidR="006A5DDF" w:rsidRDefault="006A5DDF" w:rsidP="009A222D"/>
    <w:p w:rsidR="006A5DDF" w:rsidRDefault="006A5DDF" w:rsidP="009A222D"/>
    <w:p w:rsidR="006A5DDF" w:rsidRDefault="006A5DDF" w:rsidP="009A222D"/>
    <w:p w:rsidR="006A5DDF" w:rsidRDefault="006A5DDF" w:rsidP="009A222D"/>
    <w:p w:rsidR="006A5DDF" w:rsidRDefault="006A5DDF" w:rsidP="009A222D"/>
    <w:p w:rsidR="006A5DDF" w:rsidRDefault="006A5DDF" w:rsidP="009A222D"/>
    <w:p w:rsidR="006A5DDF" w:rsidRDefault="006A5DDF" w:rsidP="009A222D"/>
    <w:p w:rsidR="006A5DDF" w:rsidRDefault="006A5DDF" w:rsidP="009A222D"/>
    <w:p w:rsidR="006A5DDF" w:rsidRDefault="006A5DDF" w:rsidP="009A222D"/>
    <w:p w:rsidR="006A5DDF" w:rsidRDefault="006A5DDF" w:rsidP="009A222D"/>
    <w:p w:rsidR="006A5DDF" w:rsidRDefault="006A5DDF" w:rsidP="00D14A27">
      <w:pPr>
        <w:ind w:firstLine="0"/>
      </w:pPr>
    </w:p>
    <w:p w:rsidR="009F0B2C" w:rsidRDefault="00A04692" w:rsidP="00D14A27">
      <w:pPr>
        <w:ind w:firstLine="0"/>
      </w:pPr>
      <w:r>
        <w:lastRenderedPageBreak/>
        <w:t>References</w:t>
      </w:r>
    </w:p>
    <w:p w:rsidR="00D14A27" w:rsidRPr="00D14A27" w:rsidRDefault="00A04692" w:rsidP="00D14A27">
      <w:pPr>
        <w:pStyle w:val="Bibliography"/>
      </w:pPr>
      <w:r>
        <w:rPr>
          <w:color w:val="FF0000"/>
          <w:shd w:val="clear" w:color="auto" w:fill="FFFFFF"/>
        </w:rPr>
        <w:fldChar w:fldCharType="begin"/>
      </w:r>
      <w:r w:rsidR="00B22ECF">
        <w:rPr>
          <w:color w:val="FF0000"/>
          <w:shd w:val="clear" w:color="auto" w:fill="FFFFFF"/>
        </w:rPr>
        <w:instrText xml:space="preserve"> ADDIN ZOTERO_BIBL {"custom":[]} CSL_BIBLIOGRAPHY </w:instrText>
      </w:r>
      <w:r>
        <w:rPr>
          <w:color w:val="FF0000"/>
          <w:shd w:val="clear" w:color="auto" w:fill="FFFFFF"/>
        </w:rPr>
        <w:fldChar w:fldCharType="separate"/>
      </w:r>
      <w:r w:rsidRPr="00D14A27">
        <w:t xml:space="preserve">Ju, S., Kong, L., Hussin, Z. H., &amp; Jusoff, K. (2009). The influence of employee benefits towards organizational commitment. </w:t>
      </w:r>
      <w:r w:rsidRPr="00D14A27">
        <w:rPr>
          <w:i/>
          <w:iCs/>
        </w:rPr>
        <w:t>Asian Social Science</w:t>
      </w:r>
      <w:r w:rsidRPr="00D14A27">
        <w:t xml:space="preserve">, </w:t>
      </w:r>
      <w:r w:rsidRPr="00D14A27">
        <w:rPr>
          <w:i/>
          <w:iCs/>
        </w:rPr>
        <w:t>4</w:t>
      </w:r>
      <w:r w:rsidRPr="00D14A27">
        <w:t>(8), 147.</w:t>
      </w:r>
    </w:p>
    <w:p w:rsidR="00D14A27" w:rsidRPr="00D14A27" w:rsidRDefault="00A04692" w:rsidP="00D14A27">
      <w:pPr>
        <w:pStyle w:val="Bibliography"/>
      </w:pPr>
      <w:r w:rsidRPr="00D14A27">
        <w:t xml:space="preserve">Mathis, R. L., &amp; Jackson, J. H. (2011). </w:t>
      </w:r>
      <w:r w:rsidRPr="00D14A27">
        <w:rPr>
          <w:i/>
          <w:iCs/>
        </w:rPr>
        <w:t>Human resource management: Essential perspectives</w:t>
      </w:r>
      <w:r w:rsidRPr="00D14A27">
        <w:t>. Cengage Learning.</w:t>
      </w:r>
    </w:p>
    <w:p w:rsidR="00D14A27" w:rsidRPr="00D14A27" w:rsidRDefault="00A04692" w:rsidP="00D14A27">
      <w:pPr>
        <w:pStyle w:val="Bibliography"/>
      </w:pPr>
      <w:r w:rsidRPr="00D14A27">
        <w:t xml:space="preserve">Stapenhurst, T. (2009). </w:t>
      </w:r>
      <w:r w:rsidRPr="00D14A27">
        <w:rPr>
          <w:i/>
          <w:iCs/>
        </w:rPr>
        <w:t>The benchmarking book</w:t>
      </w:r>
      <w:r w:rsidRPr="00D14A27">
        <w:t>. Routledge.</w:t>
      </w:r>
    </w:p>
    <w:p w:rsidR="00D14A27" w:rsidRPr="00D14A27" w:rsidRDefault="00A04692" w:rsidP="00D14A27">
      <w:pPr>
        <w:pStyle w:val="Bibliography"/>
      </w:pPr>
      <w:r w:rsidRPr="00D14A27">
        <w:t>The Total Compensation Plan – Human Resources in the Food Service and Hospitality Industry. (n.d.). Retrieved January 26, 2019, from https://opentextbc.ca/humanresourcesinfoodservices/chapter/the-total-compensation-plan/</w:t>
      </w:r>
    </w:p>
    <w:p w:rsidR="009F0B2C" w:rsidRPr="00CD3698" w:rsidRDefault="00A04692" w:rsidP="009A222D">
      <w:pPr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fldChar w:fldCharType="end"/>
      </w:r>
    </w:p>
    <w:sectPr w:rsidR="009F0B2C" w:rsidRPr="00CD3698" w:rsidSect="008219DF">
      <w:headerReference w:type="even" r:id="rId10"/>
      <w:head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4CF" w:rsidRDefault="00B744CF">
      <w:pPr>
        <w:spacing w:line="240" w:lineRule="auto"/>
      </w:pPr>
      <w:r>
        <w:separator/>
      </w:r>
    </w:p>
  </w:endnote>
  <w:endnote w:type="continuationSeparator" w:id="0">
    <w:p w:rsidR="00B744CF" w:rsidRDefault="00B74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4CF" w:rsidRDefault="00B744CF">
      <w:pPr>
        <w:spacing w:line="240" w:lineRule="auto"/>
      </w:pPr>
      <w:r>
        <w:separator/>
      </w:r>
    </w:p>
  </w:footnote>
  <w:footnote w:type="continuationSeparator" w:id="0">
    <w:p w:rsidR="00B744CF" w:rsidRDefault="00B744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A046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A046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621">
      <w:rPr>
        <w:rStyle w:val="PageNumber"/>
        <w:noProof/>
      </w:rPr>
      <w:t>7</w:t>
    </w:r>
    <w:r>
      <w:rPr>
        <w:rStyle w:val="PageNumber"/>
      </w:rPr>
      <w:fldChar w:fldCharType="end"/>
    </w:r>
  </w:p>
  <w:p w:rsidR="002A2A03" w:rsidRPr="00A542D5" w:rsidRDefault="00A04692" w:rsidP="00A542D5">
    <w:pPr>
      <w:spacing w:after="300" w:line="240" w:lineRule="auto"/>
      <w:ind w:firstLine="0"/>
      <w:rPr>
        <w:color w:val="393939"/>
        <w:sz w:val="20"/>
        <w:szCs w:val="20"/>
      </w:rPr>
    </w:pPr>
    <w:r>
      <w:rPr>
        <w:color w:val="393939"/>
        <w:szCs w:val="20"/>
      </w:rPr>
      <w:t>HRM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A046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621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Pr="008D3F2B" w:rsidRDefault="00A04692" w:rsidP="008D3F2B">
    <w:pPr>
      <w:spacing w:after="300" w:line="240" w:lineRule="auto"/>
      <w:ind w:firstLine="0"/>
      <w:rPr>
        <w:color w:val="393939"/>
        <w:sz w:val="20"/>
        <w:szCs w:val="20"/>
      </w:rPr>
    </w:pPr>
    <w:r>
      <w:rPr>
        <w:color w:val="393939"/>
        <w:szCs w:val="20"/>
      </w:rPr>
      <w:t>HRM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D3CF6"/>
    <w:multiLevelType w:val="hybridMultilevel"/>
    <w:tmpl w:val="AE4C2298"/>
    <w:lvl w:ilvl="0" w:tplc="0C54723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37CADFE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5BB8358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F56639E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FF80C3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A934A42C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C256067C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9E48318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CF76788C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8EC52A9"/>
    <w:multiLevelType w:val="multilevel"/>
    <w:tmpl w:val="C7C6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943B6A"/>
    <w:multiLevelType w:val="hybridMultilevel"/>
    <w:tmpl w:val="39BA1636"/>
    <w:lvl w:ilvl="0" w:tplc="E8D49A0E">
      <w:start w:val="1"/>
      <w:numFmt w:val="decimal"/>
      <w:lvlText w:val="%1."/>
      <w:lvlJc w:val="left"/>
      <w:pPr>
        <w:ind w:left="810" w:hanging="360"/>
      </w:pPr>
    </w:lvl>
    <w:lvl w:ilvl="1" w:tplc="73EA323A" w:tentative="1">
      <w:start w:val="1"/>
      <w:numFmt w:val="lowerLetter"/>
      <w:lvlText w:val="%2."/>
      <w:lvlJc w:val="left"/>
      <w:pPr>
        <w:ind w:left="1530" w:hanging="360"/>
      </w:pPr>
    </w:lvl>
    <w:lvl w:ilvl="2" w:tplc="57326CE6" w:tentative="1">
      <w:start w:val="1"/>
      <w:numFmt w:val="lowerRoman"/>
      <w:lvlText w:val="%3."/>
      <w:lvlJc w:val="right"/>
      <w:pPr>
        <w:ind w:left="2250" w:hanging="180"/>
      </w:pPr>
    </w:lvl>
    <w:lvl w:ilvl="3" w:tplc="17B49DCE" w:tentative="1">
      <w:start w:val="1"/>
      <w:numFmt w:val="decimal"/>
      <w:lvlText w:val="%4."/>
      <w:lvlJc w:val="left"/>
      <w:pPr>
        <w:ind w:left="2970" w:hanging="360"/>
      </w:pPr>
    </w:lvl>
    <w:lvl w:ilvl="4" w:tplc="50B820AE" w:tentative="1">
      <w:start w:val="1"/>
      <w:numFmt w:val="lowerLetter"/>
      <w:lvlText w:val="%5."/>
      <w:lvlJc w:val="left"/>
      <w:pPr>
        <w:ind w:left="3690" w:hanging="360"/>
      </w:pPr>
    </w:lvl>
    <w:lvl w:ilvl="5" w:tplc="FEC0D4E0" w:tentative="1">
      <w:start w:val="1"/>
      <w:numFmt w:val="lowerRoman"/>
      <w:lvlText w:val="%6."/>
      <w:lvlJc w:val="right"/>
      <w:pPr>
        <w:ind w:left="4410" w:hanging="180"/>
      </w:pPr>
    </w:lvl>
    <w:lvl w:ilvl="6" w:tplc="25907192" w:tentative="1">
      <w:start w:val="1"/>
      <w:numFmt w:val="decimal"/>
      <w:lvlText w:val="%7."/>
      <w:lvlJc w:val="left"/>
      <w:pPr>
        <w:ind w:left="5130" w:hanging="360"/>
      </w:pPr>
    </w:lvl>
    <w:lvl w:ilvl="7" w:tplc="92CE50B6" w:tentative="1">
      <w:start w:val="1"/>
      <w:numFmt w:val="lowerLetter"/>
      <w:lvlText w:val="%8."/>
      <w:lvlJc w:val="left"/>
      <w:pPr>
        <w:ind w:left="5850" w:hanging="360"/>
      </w:pPr>
    </w:lvl>
    <w:lvl w:ilvl="8" w:tplc="DA6C03B0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79E1A3B"/>
    <w:multiLevelType w:val="hybridMultilevel"/>
    <w:tmpl w:val="C972925C"/>
    <w:lvl w:ilvl="0" w:tplc="BA524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A86D1B4" w:tentative="1">
      <w:start w:val="1"/>
      <w:numFmt w:val="lowerLetter"/>
      <w:lvlText w:val="%2."/>
      <w:lvlJc w:val="left"/>
      <w:pPr>
        <w:ind w:left="1800" w:hanging="360"/>
      </w:pPr>
    </w:lvl>
    <w:lvl w:ilvl="2" w:tplc="706A1E7A" w:tentative="1">
      <w:start w:val="1"/>
      <w:numFmt w:val="lowerRoman"/>
      <w:lvlText w:val="%3."/>
      <w:lvlJc w:val="right"/>
      <w:pPr>
        <w:ind w:left="2520" w:hanging="180"/>
      </w:pPr>
    </w:lvl>
    <w:lvl w:ilvl="3" w:tplc="7AA2FAF4" w:tentative="1">
      <w:start w:val="1"/>
      <w:numFmt w:val="decimal"/>
      <w:lvlText w:val="%4."/>
      <w:lvlJc w:val="left"/>
      <w:pPr>
        <w:ind w:left="3240" w:hanging="360"/>
      </w:pPr>
    </w:lvl>
    <w:lvl w:ilvl="4" w:tplc="14E4D5FA" w:tentative="1">
      <w:start w:val="1"/>
      <w:numFmt w:val="lowerLetter"/>
      <w:lvlText w:val="%5."/>
      <w:lvlJc w:val="left"/>
      <w:pPr>
        <w:ind w:left="3960" w:hanging="360"/>
      </w:pPr>
    </w:lvl>
    <w:lvl w:ilvl="5" w:tplc="7E8E6C62" w:tentative="1">
      <w:start w:val="1"/>
      <w:numFmt w:val="lowerRoman"/>
      <w:lvlText w:val="%6."/>
      <w:lvlJc w:val="right"/>
      <w:pPr>
        <w:ind w:left="4680" w:hanging="180"/>
      </w:pPr>
    </w:lvl>
    <w:lvl w:ilvl="6" w:tplc="6694D9B8" w:tentative="1">
      <w:start w:val="1"/>
      <w:numFmt w:val="decimal"/>
      <w:lvlText w:val="%7."/>
      <w:lvlJc w:val="left"/>
      <w:pPr>
        <w:ind w:left="5400" w:hanging="360"/>
      </w:pPr>
    </w:lvl>
    <w:lvl w:ilvl="7" w:tplc="13146E9C" w:tentative="1">
      <w:start w:val="1"/>
      <w:numFmt w:val="lowerLetter"/>
      <w:lvlText w:val="%8."/>
      <w:lvlJc w:val="left"/>
      <w:pPr>
        <w:ind w:left="6120" w:hanging="360"/>
      </w:pPr>
    </w:lvl>
    <w:lvl w:ilvl="8" w:tplc="EFBA4F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8F58BE"/>
    <w:multiLevelType w:val="hybridMultilevel"/>
    <w:tmpl w:val="57A239CC"/>
    <w:lvl w:ilvl="0" w:tplc="5B2408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AF18A0DE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6B2260A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D4D0DAEE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79C8484A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96D4CD4C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78EC9C24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A8344258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77FEBE3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87D4BE6"/>
    <w:multiLevelType w:val="hybridMultilevel"/>
    <w:tmpl w:val="05A6F0AE"/>
    <w:lvl w:ilvl="0" w:tplc="C908E93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E6365D4E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E73A33E4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494F364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7664B2A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5CEFD8E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E67CCF32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6DA02D10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A94CF04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59D4E4F"/>
    <w:multiLevelType w:val="hybridMultilevel"/>
    <w:tmpl w:val="57A239CC"/>
    <w:lvl w:ilvl="0" w:tplc="7FE27E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90C417A8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2C619CE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6BAAECE6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C59EB6BC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1741968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3FE925C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3C646C6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6E1249BE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2820"/>
    <w:rsid w:val="00003AD2"/>
    <w:rsid w:val="0000793A"/>
    <w:rsid w:val="00033808"/>
    <w:rsid w:val="0004668D"/>
    <w:rsid w:val="00047027"/>
    <w:rsid w:val="000569A0"/>
    <w:rsid w:val="000A61CF"/>
    <w:rsid w:val="000B0A32"/>
    <w:rsid w:val="000B2DAC"/>
    <w:rsid w:val="000C0754"/>
    <w:rsid w:val="000E6B29"/>
    <w:rsid w:val="001075B3"/>
    <w:rsid w:val="001079DF"/>
    <w:rsid w:val="00111777"/>
    <w:rsid w:val="00126CAD"/>
    <w:rsid w:val="0012754A"/>
    <w:rsid w:val="00155081"/>
    <w:rsid w:val="00155A81"/>
    <w:rsid w:val="0018167A"/>
    <w:rsid w:val="0019715E"/>
    <w:rsid w:val="001A0A79"/>
    <w:rsid w:val="001B4B97"/>
    <w:rsid w:val="001C1528"/>
    <w:rsid w:val="001C2DD9"/>
    <w:rsid w:val="001C367F"/>
    <w:rsid w:val="001C38A5"/>
    <w:rsid w:val="001D0194"/>
    <w:rsid w:val="001E3CBB"/>
    <w:rsid w:val="00235CE5"/>
    <w:rsid w:val="00237058"/>
    <w:rsid w:val="00244543"/>
    <w:rsid w:val="00256129"/>
    <w:rsid w:val="00266160"/>
    <w:rsid w:val="0027263C"/>
    <w:rsid w:val="00285310"/>
    <w:rsid w:val="00287E0F"/>
    <w:rsid w:val="002A2A03"/>
    <w:rsid w:val="002A7F19"/>
    <w:rsid w:val="002B0459"/>
    <w:rsid w:val="002B0D1F"/>
    <w:rsid w:val="002B4ACD"/>
    <w:rsid w:val="002C5434"/>
    <w:rsid w:val="002D1C06"/>
    <w:rsid w:val="002D5E41"/>
    <w:rsid w:val="002F11B4"/>
    <w:rsid w:val="002F2768"/>
    <w:rsid w:val="002F2E52"/>
    <w:rsid w:val="002F30E3"/>
    <w:rsid w:val="003069E2"/>
    <w:rsid w:val="0031733B"/>
    <w:rsid w:val="00320497"/>
    <w:rsid w:val="00326322"/>
    <w:rsid w:val="00327D6A"/>
    <w:rsid w:val="00335450"/>
    <w:rsid w:val="00335AFD"/>
    <w:rsid w:val="003433C3"/>
    <w:rsid w:val="00351E57"/>
    <w:rsid w:val="00354708"/>
    <w:rsid w:val="00365F23"/>
    <w:rsid w:val="00370202"/>
    <w:rsid w:val="003718E6"/>
    <w:rsid w:val="00375870"/>
    <w:rsid w:val="00387750"/>
    <w:rsid w:val="003907C6"/>
    <w:rsid w:val="003A2C2D"/>
    <w:rsid w:val="003A6D9E"/>
    <w:rsid w:val="003B2130"/>
    <w:rsid w:val="003C024B"/>
    <w:rsid w:val="003C11C6"/>
    <w:rsid w:val="003D4AFB"/>
    <w:rsid w:val="003E0B24"/>
    <w:rsid w:val="003E4808"/>
    <w:rsid w:val="003F13D1"/>
    <w:rsid w:val="0042342C"/>
    <w:rsid w:val="0044671B"/>
    <w:rsid w:val="00464DA8"/>
    <w:rsid w:val="00465DDD"/>
    <w:rsid w:val="004814B7"/>
    <w:rsid w:val="00485401"/>
    <w:rsid w:val="004A5799"/>
    <w:rsid w:val="004C01B3"/>
    <w:rsid w:val="004C107C"/>
    <w:rsid w:val="004C1732"/>
    <w:rsid w:val="004C4FCC"/>
    <w:rsid w:val="004D1F18"/>
    <w:rsid w:val="004D504F"/>
    <w:rsid w:val="004E1573"/>
    <w:rsid w:val="004E2283"/>
    <w:rsid w:val="004E2BE3"/>
    <w:rsid w:val="004F2B63"/>
    <w:rsid w:val="0051757F"/>
    <w:rsid w:val="00523630"/>
    <w:rsid w:val="00532AA6"/>
    <w:rsid w:val="00535A00"/>
    <w:rsid w:val="0053779D"/>
    <w:rsid w:val="00537F6C"/>
    <w:rsid w:val="005446A8"/>
    <w:rsid w:val="00545814"/>
    <w:rsid w:val="00567438"/>
    <w:rsid w:val="00582FD4"/>
    <w:rsid w:val="005832ED"/>
    <w:rsid w:val="005838B4"/>
    <w:rsid w:val="00593B00"/>
    <w:rsid w:val="0059662F"/>
    <w:rsid w:val="005A1971"/>
    <w:rsid w:val="005B1762"/>
    <w:rsid w:val="005B6DDD"/>
    <w:rsid w:val="005C0FED"/>
    <w:rsid w:val="005C529C"/>
    <w:rsid w:val="005D28A4"/>
    <w:rsid w:val="005E03FB"/>
    <w:rsid w:val="005E2DB9"/>
    <w:rsid w:val="005E2E4D"/>
    <w:rsid w:val="005F7A62"/>
    <w:rsid w:val="00615E7C"/>
    <w:rsid w:val="006211AD"/>
    <w:rsid w:val="00622CA8"/>
    <w:rsid w:val="006369C4"/>
    <w:rsid w:val="00637C57"/>
    <w:rsid w:val="00641861"/>
    <w:rsid w:val="00653475"/>
    <w:rsid w:val="00653A88"/>
    <w:rsid w:val="0065462E"/>
    <w:rsid w:val="00672C2B"/>
    <w:rsid w:val="006A5DDF"/>
    <w:rsid w:val="006A74FA"/>
    <w:rsid w:val="006B1B34"/>
    <w:rsid w:val="006B53A8"/>
    <w:rsid w:val="006C50F0"/>
    <w:rsid w:val="006C665B"/>
    <w:rsid w:val="006C7BEA"/>
    <w:rsid w:val="006E35EB"/>
    <w:rsid w:val="006E4CE7"/>
    <w:rsid w:val="006E533E"/>
    <w:rsid w:val="006F5081"/>
    <w:rsid w:val="007111B9"/>
    <w:rsid w:val="00713162"/>
    <w:rsid w:val="007134F2"/>
    <w:rsid w:val="00730D0E"/>
    <w:rsid w:val="007334C1"/>
    <w:rsid w:val="007579A2"/>
    <w:rsid w:val="0076067C"/>
    <w:rsid w:val="00793241"/>
    <w:rsid w:val="007D5D8D"/>
    <w:rsid w:val="008033FD"/>
    <w:rsid w:val="008219DF"/>
    <w:rsid w:val="00827C0F"/>
    <w:rsid w:val="008356A0"/>
    <w:rsid w:val="0083617E"/>
    <w:rsid w:val="00844EAF"/>
    <w:rsid w:val="0084622F"/>
    <w:rsid w:val="00857027"/>
    <w:rsid w:val="00857031"/>
    <w:rsid w:val="008602D3"/>
    <w:rsid w:val="008743E8"/>
    <w:rsid w:val="0088493B"/>
    <w:rsid w:val="00886C23"/>
    <w:rsid w:val="00892BDE"/>
    <w:rsid w:val="008B4C50"/>
    <w:rsid w:val="008B7428"/>
    <w:rsid w:val="008B79FC"/>
    <w:rsid w:val="008D0477"/>
    <w:rsid w:val="008D3F2B"/>
    <w:rsid w:val="008E22A4"/>
    <w:rsid w:val="008E58FD"/>
    <w:rsid w:val="008F1BAF"/>
    <w:rsid w:val="008F248A"/>
    <w:rsid w:val="0090429E"/>
    <w:rsid w:val="009076E0"/>
    <w:rsid w:val="009142C3"/>
    <w:rsid w:val="0091578B"/>
    <w:rsid w:val="00946C1C"/>
    <w:rsid w:val="0094750B"/>
    <w:rsid w:val="0096486B"/>
    <w:rsid w:val="0098029D"/>
    <w:rsid w:val="00990A94"/>
    <w:rsid w:val="00997762"/>
    <w:rsid w:val="009A222D"/>
    <w:rsid w:val="009A544C"/>
    <w:rsid w:val="009B7336"/>
    <w:rsid w:val="009E0A4F"/>
    <w:rsid w:val="009E4640"/>
    <w:rsid w:val="009E47DB"/>
    <w:rsid w:val="009E7B0E"/>
    <w:rsid w:val="009F0B2C"/>
    <w:rsid w:val="009F7B6F"/>
    <w:rsid w:val="00A04692"/>
    <w:rsid w:val="00A054CB"/>
    <w:rsid w:val="00A13087"/>
    <w:rsid w:val="00A34C8A"/>
    <w:rsid w:val="00A35462"/>
    <w:rsid w:val="00A36D46"/>
    <w:rsid w:val="00A42C55"/>
    <w:rsid w:val="00A44293"/>
    <w:rsid w:val="00A45555"/>
    <w:rsid w:val="00A530C4"/>
    <w:rsid w:val="00A5358E"/>
    <w:rsid w:val="00A542D5"/>
    <w:rsid w:val="00A57C7F"/>
    <w:rsid w:val="00A63C15"/>
    <w:rsid w:val="00A669AD"/>
    <w:rsid w:val="00A74EAB"/>
    <w:rsid w:val="00A849AF"/>
    <w:rsid w:val="00A9030E"/>
    <w:rsid w:val="00AA383A"/>
    <w:rsid w:val="00AA78B0"/>
    <w:rsid w:val="00AB4324"/>
    <w:rsid w:val="00AC27DA"/>
    <w:rsid w:val="00AD60AA"/>
    <w:rsid w:val="00AE1673"/>
    <w:rsid w:val="00AE5314"/>
    <w:rsid w:val="00AF0FA5"/>
    <w:rsid w:val="00AF209C"/>
    <w:rsid w:val="00AF3F48"/>
    <w:rsid w:val="00AF6BE2"/>
    <w:rsid w:val="00B05FE1"/>
    <w:rsid w:val="00B10F72"/>
    <w:rsid w:val="00B15EDC"/>
    <w:rsid w:val="00B221F1"/>
    <w:rsid w:val="00B22ECF"/>
    <w:rsid w:val="00B25A95"/>
    <w:rsid w:val="00B3679F"/>
    <w:rsid w:val="00B405E5"/>
    <w:rsid w:val="00B42536"/>
    <w:rsid w:val="00B43E3D"/>
    <w:rsid w:val="00B5231D"/>
    <w:rsid w:val="00B57127"/>
    <w:rsid w:val="00B740D2"/>
    <w:rsid w:val="00B744CF"/>
    <w:rsid w:val="00B95123"/>
    <w:rsid w:val="00BA042C"/>
    <w:rsid w:val="00BA4561"/>
    <w:rsid w:val="00BB7716"/>
    <w:rsid w:val="00BC1F24"/>
    <w:rsid w:val="00BC5678"/>
    <w:rsid w:val="00BF4C7E"/>
    <w:rsid w:val="00C0200C"/>
    <w:rsid w:val="00C16D39"/>
    <w:rsid w:val="00C25FAE"/>
    <w:rsid w:val="00C26139"/>
    <w:rsid w:val="00C265A1"/>
    <w:rsid w:val="00C6094A"/>
    <w:rsid w:val="00C62562"/>
    <w:rsid w:val="00C67138"/>
    <w:rsid w:val="00C844AB"/>
    <w:rsid w:val="00C878EB"/>
    <w:rsid w:val="00C94FD6"/>
    <w:rsid w:val="00CA2067"/>
    <w:rsid w:val="00CA3767"/>
    <w:rsid w:val="00CA38D8"/>
    <w:rsid w:val="00CA4BBF"/>
    <w:rsid w:val="00CB181F"/>
    <w:rsid w:val="00CB373B"/>
    <w:rsid w:val="00CC3CD8"/>
    <w:rsid w:val="00CC5693"/>
    <w:rsid w:val="00CD1261"/>
    <w:rsid w:val="00CD2D30"/>
    <w:rsid w:val="00CD3698"/>
    <w:rsid w:val="00CD7516"/>
    <w:rsid w:val="00CE2491"/>
    <w:rsid w:val="00CF29F0"/>
    <w:rsid w:val="00CF6D84"/>
    <w:rsid w:val="00D03965"/>
    <w:rsid w:val="00D06FCC"/>
    <w:rsid w:val="00D14A27"/>
    <w:rsid w:val="00D21B4A"/>
    <w:rsid w:val="00D22994"/>
    <w:rsid w:val="00D24C70"/>
    <w:rsid w:val="00D258B0"/>
    <w:rsid w:val="00D25BB6"/>
    <w:rsid w:val="00D31F65"/>
    <w:rsid w:val="00D36B9E"/>
    <w:rsid w:val="00D50DEC"/>
    <w:rsid w:val="00D51F45"/>
    <w:rsid w:val="00D71819"/>
    <w:rsid w:val="00D772EC"/>
    <w:rsid w:val="00D81400"/>
    <w:rsid w:val="00DA4F98"/>
    <w:rsid w:val="00DB1713"/>
    <w:rsid w:val="00DD17AE"/>
    <w:rsid w:val="00DD37C2"/>
    <w:rsid w:val="00DE69C9"/>
    <w:rsid w:val="00DF759D"/>
    <w:rsid w:val="00E00F77"/>
    <w:rsid w:val="00E03B65"/>
    <w:rsid w:val="00E054EB"/>
    <w:rsid w:val="00E14FE7"/>
    <w:rsid w:val="00E3736C"/>
    <w:rsid w:val="00E65520"/>
    <w:rsid w:val="00E66E36"/>
    <w:rsid w:val="00E82DB5"/>
    <w:rsid w:val="00E8353E"/>
    <w:rsid w:val="00E91AC4"/>
    <w:rsid w:val="00E928AF"/>
    <w:rsid w:val="00E928F9"/>
    <w:rsid w:val="00EA0E61"/>
    <w:rsid w:val="00EA3613"/>
    <w:rsid w:val="00EB445E"/>
    <w:rsid w:val="00EC507D"/>
    <w:rsid w:val="00EC7120"/>
    <w:rsid w:val="00F128A4"/>
    <w:rsid w:val="00F16621"/>
    <w:rsid w:val="00F17FBC"/>
    <w:rsid w:val="00F31192"/>
    <w:rsid w:val="00F31D33"/>
    <w:rsid w:val="00F5239B"/>
    <w:rsid w:val="00F74259"/>
    <w:rsid w:val="00F8440D"/>
    <w:rsid w:val="00F95B26"/>
    <w:rsid w:val="00F970AA"/>
    <w:rsid w:val="00FA7AC9"/>
    <w:rsid w:val="00FB0980"/>
    <w:rsid w:val="00FB0BA6"/>
    <w:rsid w:val="00FC1D22"/>
    <w:rsid w:val="00FC48E3"/>
    <w:rsid w:val="00FC66DD"/>
    <w:rsid w:val="00FC7DD6"/>
    <w:rsid w:val="00FD3D0F"/>
    <w:rsid w:val="00FE20E2"/>
    <w:rsid w:val="00FE7B25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A5A95F-ECA3-4EC7-9E32-F89E686B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link w:val="Heading1Char"/>
    <w:uiPriority w:val="9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464DA8"/>
    <w:pPr>
      <w:ind w:left="720"/>
    </w:pPr>
  </w:style>
  <w:style w:type="paragraph" w:styleId="Bibliography">
    <w:name w:val="Bibliography"/>
    <w:basedOn w:val="Normal"/>
    <w:next w:val="Normal"/>
    <w:uiPriority w:val="37"/>
    <w:unhideWhenUsed/>
    <w:rsid w:val="00A669AD"/>
    <w:pPr>
      <w:ind w:left="720" w:hanging="720"/>
    </w:pPr>
  </w:style>
  <w:style w:type="character" w:customStyle="1" w:styleId="Heading1Char">
    <w:name w:val="Heading 1 Char"/>
    <w:link w:val="Heading1"/>
    <w:uiPriority w:val="9"/>
    <w:rsid w:val="00F8440D"/>
    <w:rPr>
      <w:rFonts w:cs="Arial"/>
      <w:b/>
      <w:bCs/>
      <w:kern w:val="32"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4E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Sch13</b:Tag>
    <b:SourceType>JournalArticle</b:SourceType>
    <b:Guid>{705E77D4-F655-493F-BED1-B5E64EE53D01}</b:Guid>
    <b:Author>
      <b:Author>
        <b:NameList>
          <b:Person>
            <b:Last>Schwabe</b:Last>
            <b:First>T</b:First>
          </b:Person>
        </b:NameList>
      </b:Author>
    </b:Author>
    <b:Title>Transaction cost economics in supply chain management </b:Title>
    <b:JournalName>Bachelor's thesis, University of Twente</b:JournalName>
    <b:Year>2013</b:Year>
    <b:RefOrder>2</b:RefOrder>
  </b:Source>
  <b:Source>
    <b:Tag>Jon11</b:Tag>
    <b:SourceType>JournalArticle</b:SourceType>
    <b:Guid>{26DC71B0-D83E-45FF-A708-C4E408485A83}</b:Guid>
    <b:Author>
      <b:Author>
        <b:NameList>
          <b:Person>
            <b:Last>Jones</b:Last>
            <b:First>Dorothy</b:First>
            <b:Middle>L. R.</b:Middle>
          </b:Person>
        </b:NameList>
      </b:Author>
    </b:Author>
    <b:Title>Academic Dishonesty: Are More Students Cheating?</b:Title>
    <b:JournalName>Business Communication</b:JournalName>
    <b:Year>2011</b:Year>
    <b:Pages>141-150</b:Pages>
    <b:Volume>74</b:Volume>
    <b:Issue>2</b:Issue>
    <b:DOI>10.1177%2F1080569911404059</b:DOI>
    <b:RefOrder>1</b:RefOrder>
  </b:Source>
</b:Sources>
</file>

<file path=customXml/itemProps1.xml><?xml version="1.0" encoding="utf-8"?>
<ds:datastoreItem xmlns:ds="http://schemas.openxmlformats.org/officeDocument/2006/customXml" ds:itemID="{BB37290C-B750-4EFA-855B-4C70DC38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102</cp:revision>
  <dcterms:created xsi:type="dcterms:W3CDTF">2019-01-26T06:16:00Z</dcterms:created>
  <dcterms:modified xsi:type="dcterms:W3CDTF">2019-01-26T10:13:00Z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id="ORpx3hAv"/&gt;&lt;style id="http://www.zotero.org/styles/apa" locale="en-US" hasBibliography="1" bibliographyStyleHasBeenSet="1"/&gt;&lt;prefs&gt;&lt;pref name="fieldType" value="Field"/&gt;&lt;pref name="automaticJourna</vt:lpwstr>
  </property>
  <property fmtid="{D5CDD505-2E9C-101B-9397-08002B2CF9AE}" pid="3" name="ZOTERO_PREF_2">
    <vt:lpwstr>lAbbreviations" value="true"/&gt;&lt;pref name="noteType" value="0"/&gt;&lt;/prefs&gt;&lt;/data&gt;</vt:lpwstr>
  </property>
</Properties>
</file>