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9E5" w:rsidRPr="00C54191" w:rsidRDefault="007F29E5" w:rsidP="00C54191">
      <w:pPr>
        <w:pStyle w:val="NormalWeb"/>
        <w:shd w:val="clear" w:color="auto" w:fill="FFFFFF"/>
        <w:spacing w:before="0" w:beforeAutospacing="0" w:after="0" w:afterAutospacing="0" w:line="480" w:lineRule="auto"/>
        <w:rPr>
          <w:color w:val="050505"/>
        </w:rPr>
      </w:pPr>
    </w:p>
    <w:p w:rsidR="007F29E5" w:rsidRPr="00C54191" w:rsidRDefault="007F29E5" w:rsidP="00C54191">
      <w:pPr>
        <w:pStyle w:val="NormalWeb"/>
        <w:shd w:val="clear" w:color="auto" w:fill="FFFFFF"/>
        <w:spacing w:before="0" w:beforeAutospacing="0" w:after="0" w:afterAutospacing="0" w:line="480" w:lineRule="auto"/>
        <w:rPr>
          <w:color w:val="050505"/>
        </w:rPr>
      </w:pPr>
    </w:p>
    <w:p w:rsidR="007F29E5" w:rsidRPr="00C54191" w:rsidRDefault="007F29E5" w:rsidP="00C54191">
      <w:pPr>
        <w:pStyle w:val="NormalWeb"/>
        <w:shd w:val="clear" w:color="auto" w:fill="FFFFFF"/>
        <w:spacing w:before="0" w:beforeAutospacing="0" w:after="0" w:afterAutospacing="0" w:line="480" w:lineRule="auto"/>
        <w:rPr>
          <w:color w:val="050505"/>
        </w:rPr>
      </w:pPr>
    </w:p>
    <w:p w:rsidR="007F29E5" w:rsidRPr="00C54191" w:rsidRDefault="00102BC2" w:rsidP="00C54191">
      <w:pPr>
        <w:pStyle w:val="NormalWeb"/>
        <w:shd w:val="clear" w:color="auto" w:fill="FFFFFF"/>
        <w:spacing w:before="0" w:beforeAutospacing="0" w:after="0" w:afterAutospacing="0" w:line="480" w:lineRule="auto"/>
        <w:jc w:val="center"/>
        <w:rPr>
          <w:color w:val="050505"/>
        </w:rPr>
      </w:pPr>
      <w:r w:rsidRPr="00C54191">
        <w:rPr>
          <w:color w:val="050505"/>
        </w:rPr>
        <w:t>Tax Question</w:t>
      </w:r>
    </w:p>
    <w:p w:rsidR="007F29E5" w:rsidRPr="00C54191" w:rsidRDefault="00102BC2" w:rsidP="00C54191">
      <w:pPr>
        <w:pStyle w:val="NormalWeb"/>
        <w:shd w:val="clear" w:color="auto" w:fill="FFFFFF"/>
        <w:spacing w:before="0" w:beforeAutospacing="0" w:after="0" w:afterAutospacing="0" w:line="480" w:lineRule="auto"/>
        <w:jc w:val="center"/>
        <w:rPr>
          <w:color w:val="050505"/>
        </w:rPr>
      </w:pPr>
      <w:r w:rsidRPr="00C54191">
        <w:rPr>
          <w:color w:val="050505"/>
        </w:rPr>
        <w:t>Student’s Name</w:t>
      </w:r>
    </w:p>
    <w:p w:rsidR="007F29E5" w:rsidRPr="00C54191" w:rsidRDefault="00102BC2" w:rsidP="00C54191">
      <w:pPr>
        <w:pStyle w:val="NormalWeb"/>
        <w:shd w:val="clear" w:color="auto" w:fill="FFFFFF"/>
        <w:spacing w:before="0" w:beforeAutospacing="0" w:after="0" w:afterAutospacing="0" w:line="480" w:lineRule="auto"/>
        <w:jc w:val="center"/>
        <w:rPr>
          <w:color w:val="050505"/>
        </w:rPr>
      </w:pPr>
      <w:r w:rsidRPr="00C54191">
        <w:rPr>
          <w:color w:val="050505"/>
        </w:rPr>
        <w:t>Institution</w:t>
      </w:r>
    </w:p>
    <w:p w:rsidR="007F29E5" w:rsidRPr="00C54191" w:rsidRDefault="00102BC2" w:rsidP="00C54191">
      <w:pPr>
        <w:pStyle w:val="NormalWeb"/>
        <w:shd w:val="clear" w:color="auto" w:fill="FFFFFF"/>
        <w:spacing w:before="0" w:beforeAutospacing="0" w:after="0" w:afterAutospacing="0" w:line="480" w:lineRule="auto"/>
        <w:jc w:val="center"/>
        <w:rPr>
          <w:color w:val="050505"/>
        </w:rPr>
      </w:pPr>
      <w:r w:rsidRPr="00C54191">
        <w:rPr>
          <w:color w:val="050505"/>
        </w:rPr>
        <w:t>Date</w:t>
      </w:r>
    </w:p>
    <w:p w:rsidR="007F29E5" w:rsidRPr="00C54191" w:rsidRDefault="007F29E5" w:rsidP="00C54191">
      <w:pPr>
        <w:pStyle w:val="NormalWeb"/>
        <w:shd w:val="clear" w:color="auto" w:fill="FFFFFF"/>
        <w:spacing w:before="0" w:beforeAutospacing="0" w:after="0" w:afterAutospacing="0" w:line="480" w:lineRule="auto"/>
        <w:rPr>
          <w:color w:val="050505"/>
        </w:rPr>
      </w:pPr>
    </w:p>
    <w:p w:rsidR="007F29E5" w:rsidRPr="00C54191" w:rsidRDefault="007F29E5" w:rsidP="00C54191">
      <w:pPr>
        <w:pStyle w:val="NormalWeb"/>
        <w:shd w:val="clear" w:color="auto" w:fill="FFFFFF"/>
        <w:spacing w:before="0" w:beforeAutospacing="0" w:after="0" w:afterAutospacing="0" w:line="480" w:lineRule="auto"/>
        <w:rPr>
          <w:color w:val="050505"/>
        </w:rPr>
      </w:pPr>
    </w:p>
    <w:p w:rsidR="007F29E5" w:rsidRPr="00C54191" w:rsidRDefault="007F29E5" w:rsidP="00C54191">
      <w:pPr>
        <w:pStyle w:val="NormalWeb"/>
        <w:shd w:val="clear" w:color="auto" w:fill="FFFFFF"/>
        <w:spacing w:before="0" w:beforeAutospacing="0" w:after="0" w:afterAutospacing="0" w:line="480" w:lineRule="auto"/>
        <w:rPr>
          <w:color w:val="050505"/>
        </w:rPr>
      </w:pPr>
    </w:p>
    <w:p w:rsidR="007F29E5" w:rsidRPr="00C54191" w:rsidRDefault="007F29E5" w:rsidP="00C54191">
      <w:pPr>
        <w:pStyle w:val="NormalWeb"/>
        <w:shd w:val="clear" w:color="auto" w:fill="FFFFFF"/>
        <w:spacing w:before="0" w:beforeAutospacing="0" w:after="0" w:afterAutospacing="0" w:line="480" w:lineRule="auto"/>
        <w:rPr>
          <w:color w:val="050505"/>
        </w:rPr>
      </w:pPr>
    </w:p>
    <w:p w:rsidR="007F29E5" w:rsidRPr="00C54191" w:rsidRDefault="007F29E5" w:rsidP="00C54191">
      <w:pPr>
        <w:pStyle w:val="NormalWeb"/>
        <w:shd w:val="clear" w:color="auto" w:fill="FFFFFF"/>
        <w:spacing w:before="0" w:beforeAutospacing="0" w:after="0" w:afterAutospacing="0" w:line="480" w:lineRule="auto"/>
        <w:rPr>
          <w:color w:val="050505"/>
        </w:rPr>
      </w:pPr>
    </w:p>
    <w:p w:rsidR="007F29E5" w:rsidRPr="00C54191" w:rsidRDefault="007F29E5" w:rsidP="00C54191">
      <w:pPr>
        <w:pStyle w:val="NormalWeb"/>
        <w:shd w:val="clear" w:color="auto" w:fill="FFFFFF"/>
        <w:spacing w:before="0" w:beforeAutospacing="0" w:after="0" w:afterAutospacing="0" w:line="480" w:lineRule="auto"/>
        <w:rPr>
          <w:color w:val="050505"/>
        </w:rPr>
      </w:pPr>
    </w:p>
    <w:p w:rsidR="007F29E5" w:rsidRPr="00C54191" w:rsidRDefault="007F29E5" w:rsidP="00C54191">
      <w:pPr>
        <w:pStyle w:val="NormalWeb"/>
        <w:shd w:val="clear" w:color="auto" w:fill="FFFFFF"/>
        <w:spacing w:before="0" w:beforeAutospacing="0" w:after="0" w:afterAutospacing="0" w:line="480" w:lineRule="auto"/>
        <w:rPr>
          <w:color w:val="050505"/>
        </w:rPr>
      </w:pPr>
    </w:p>
    <w:p w:rsidR="007F29E5" w:rsidRPr="00C54191" w:rsidRDefault="007F29E5" w:rsidP="00C54191">
      <w:pPr>
        <w:pStyle w:val="NormalWeb"/>
        <w:shd w:val="clear" w:color="auto" w:fill="FFFFFF"/>
        <w:spacing w:before="0" w:beforeAutospacing="0" w:after="0" w:afterAutospacing="0" w:line="480" w:lineRule="auto"/>
        <w:rPr>
          <w:color w:val="050505"/>
        </w:rPr>
      </w:pPr>
    </w:p>
    <w:p w:rsidR="007F29E5" w:rsidRPr="00C54191" w:rsidRDefault="007F29E5" w:rsidP="00C54191">
      <w:pPr>
        <w:pStyle w:val="NormalWeb"/>
        <w:shd w:val="clear" w:color="auto" w:fill="FFFFFF"/>
        <w:spacing w:before="0" w:beforeAutospacing="0" w:after="0" w:afterAutospacing="0" w:line="480" w:lineRule="auto"/>
        <w:rPr>
          <w:color w:val="050505"/>
        </w:rPr>
      </w:pPr>
    </w:p>
    <w:p w:rsidR="007F29E5" w:rsidRPr="00C54191" w:rsidRDefault="007F29E5" w:rsidP="00C54191">
      <w:pPr>
        <w:pStyle w:val="NormalWeb"/>
        <w:shd w:val="clear" w:color="auto" w:fill="FFFFFF"/>
        <w:spacing w:before="0" w:beforeAutospacing="0" w:after="0" w:afterAutospacing="0" w:line="480" w:lineRule="auto"/>
        <w:rPr>
          <w:color w:val="050505"/>
        </w:rPr>
      </w:pPr>
    </w:p>
    <w:p w:rsidR="007F29E5" w:rsidRPr="00C54191" w:rsidRDefault="007F29E5" w:rsidP="00C54191">
      <w:pPr>
        <w:pStyle w:val="NormalWeb"/>
        <w:shd w:val="clear" w:color="auto" w:fill="FFFFFF"/>
        <w:spacing w:before="0" w:beforeAutospacing="0" w:after="0" w:afterAutospacing="0" w:line="480" w:lineRule="auto"/>
        <w:rPr>
          <w:color w:val="050505"/>
        </w:rPr>
      </w:pPr>
    </w:p>
    <w:p w:rsidR="007F29E5" w:rsidRPr="00C54191" w:rsidRDefault="007F29E5" w:rsidP="00C54191">
      <w:pPr>
        <w:pStyle w:val="NormalWeb"/>
        <w:shd w:val="clear" w:color="auto" w:fill="FFFFFF"/>
        <w:spacing w:before="0" w:beforeAutospacing="0" w:after="0" w:afterAutospacing="0" w:line="480" w:lineRule="auto"/>
        <w:rPr>
          <w:color w:val="050505"/>
        </w:rPr>
      </w:pPr>
    </w:p>
    <w:p w:rsidR="007F29E5" w:rsidRPr="00C54191" w:rsidRDefault="007F29E5" w:rsidP="00C54191">
      <w:pPr>
        <w:pStyle w:val="NormalWeb"/>
        <w:shd w:val="clear" w:color="auto" w:fill="FFFFFF"/>
        <w:spacing w:before="0" w:beforeAutospacing="0" w:after="0" w:afterAutospacing="0" w:line="480" w:lineRule="auto"/>
        <w:rPr>
          <w:color w:val="050505"/>
        </w:rPr>
      </w:pPr>
    </w:p>
    <w:p w:rsidR="007F29E5" w:rsidRPr="00C54191" w:rsidRDefault="007F29E5" w:rsidP="00C54191">
      <w:pPr>
        <w:pStyle w:val="NormalWeb"/>
        <w:shd w:val="clear" w:color="auto" w:fill="FFFFFF"/>
        <w:spacing w:before="0" w:beforeAutospacing="0" w:after="0" w:afterAutospacing="0" w:line="480" w:lineRule="auto"/>
        <w:rPr>
          <w:color w:val="050505"/>
        </w:rPr>
      </w:pPr>
    </w:p>
    <w:p w:rsidR="007F29E5" w:rsidRPr="00C54191" w:rsidRDefault="007F29E5" w:rsidP="00C54191">
      <w:pPr>
        <w:pStyle w:val="NormalWeb"/>
        <w:shd w:val="clear" w:color="auto" w:fill="FFFFFF"/>
        <w:spacing w:before="0" w:beforeAutospacing="0" w:after="0" w:afterAutospacing="0" w:line="480" w:lineRule="auto"/>
        <w:rPr>
          <w:color w:val="050505"/>
        </w:rPr>
      </w:pPr>
    </w:p>
    <w:p w:rsidR="007F29E5" w:rsidRPr="00C54191" w:rsidRDefault="007F29E5" w:rsidP="00C54191">
      <w:pPr>
        <w:pStyle w:val="NormalWeb"/>
        <w:shd w:val="clear" w:color="auto" w:fill="FFFFFF"/>
        <w:spacing w:before="0" w:beforeAutospacing="0" w:after="0" w:afterAutospacing="0" w:line="480" w:lineRule="auto"/>
        <w:rPr>
          <w:color w:val="050505"/>
        </w:rPr>
      </w:pPr>
    </w:p>
    <w:p w:rsidR="007F29E5" w:rsidRPr="00C54191" w:rsidRDefault="00102BC2" w:rsidP="00C54191">
      <w:pPr>
        <w:pStyle w:val="NormalWeb"/>
        <w:shd w:val="clear" w:color="auto" w:fill="FFFFFF"/>
        <w:spacing w:before="0" w:beforeAutospacing="0" w:after="0" w:afterAutospacing="0" w:line="480" w:lineRule="auto"/>
        <w:jc w:val="center"/>
        <w:rPr>
          <w:b/>
          <w:color w:val="050505"/>
        </w:rPr>
      </w:pPr>
      <w:r w:rsidRPr="00C54191">
        <w:rPr>
          <w:b/>
          <w:color w:val="050505"/>
        </w:rPr>
        <w:lastRenderedPageBreak/>
        <w:t>Section 199A</w:t>
      </w:r>
      <w:r w:rsidR="007B3935" w:rsidRPr="00C54191">
        <w:rPr>
          <w:b/>
          <w:color w:val="050505"/>
        </w:rPr>
        <w:t xml:space="preserve"> </w:t>
      </w:r>
    </w:p>
    <w:p w:rsidR="007F29E5" w:rsidRPr="00C54191" w:rsidRDefault="00102BC2" w:rsidP="00C54191">
      <w:pPr>
        <w:pStyle w:val="NormalWeb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color w:val="050505"/>
        </w:rPr>
      </w:pPr>
      <w:r w:rsidRPr="00C54191">
        <w:rPr>
          <w:color w:val="050505"/>
        </w:rPr>
        <w:t xml:space="preserve">Section 199A is regarded as a section of the Tax Law, which allows individuals to the partnership, sole </w:t>
      </w:r>
      <w:r w:rsidR="00023FF0" w:rsidRPr="00C54191">
        <w:rPr>
          <w:color w:val="050505"/>
        </w:rPr>
        <w:t>proprietorship</w:t>
      </w:r>
      <w:r w:rsidRPr="00C54191">
        <w:rPr>
          <w:color w:val="050505"/>
        </w:rPr>
        <w:t>,</w:t>
      </w:r>
      <w:r w:rsidR="00023FF0" w:rsidRPr="00C54191">
        <w:rPr>
          <w:color w:val="050505"/>
        </w:rPr>
        <w:t xml:space="preserve"> </w:t>
      </w:r>
      <w:r w:rsidR="000957D4" w:rsidRPr="00C54191">
        <w:rPr>
          <w:color w:val="050505"/>
        </w:rPr>
        <w:t>and corporation</w:t>
      </w:r>
      <w:r w:rsidR="00023FF0" w:rsidRPr="00C54191">
        <w:rPr>
          <w:color w:val="050505"/>
        </w:rPr>
        <w:t xml:space="preserve"> to apply </w:t>
      </w:r>
      <w:r w:rsidR="00210039" w:rsidRPr="00C54191">
        <w:rPr>
          <w:color w:val="050505"/>
        </w:rPr>
        <w:t xml:space="preserve">a deduction of </w:t>
      </w:r>
      <w:r w:rsidR="000957D4" w:rsidRPr="00C54191">
        <w:rPr>
          <w:color w:val="050505"/>
        </w:rPr>
        <w:t xml:space="preserve">income for qualified business or business. </w:t>
      </w:r>
      <w:r w:rsidR="00CB7BB5" w:rsidRPr="00C54191">
        <w:rPr>
          <w:color w:val="050505"/>
        </w:rPr>
        <w:t>It is regarded as a tax break, which allows individuals to submit only 20% in tax for the income a company makes during the financial period</w:t>
      </w:r>
      <w:sdt>
        <w:sdtPr>
          <w:rPr>
            <w:color w:val="050505"/>
          </w:rPr>
          <w:id w:val="53238929"/>
          <w:citation/>
        </w:sdtPr>
        <w:sdtContent>
          <w:r w:rsidR="00F91A09">
            <w:rPr>
              <w:color w:val="050505"/>
            </w:rPr>
            <w:fldChar w:fldCharType="begin"/>
          </w:r>
          <w:r w:rsidR="006D37F1">
            <w:rPr>
              <w:color w:val="050505"/>
            </w:rPr>
            <w:instrText xml:space="preserve"> CITATION Sch19 \l 1033 </w:instrText>
          </w:r>
          <w:r w:rsidR="00F91A09">
            <w:rPr>
              <w:color w:val="050505"/>
            </w:rPr>
            <w:fldChar w:fldCharType="separate"/>
          </w:r>
          <w:r w:rsidR="006D37F1">
            <w:rPr>
              <w:noProof/>
              <w:color w:val="050505"/>
            </w:rPr>
            <w:t xml:space="preserve"> </w:t>
          </w:r>
          <w:r w:rsidR="006D37F1" w:rsidRPr="006D37F1">
            <w:rPr>
              <w:noProof/>
              <w:color w:val="050505"/>
            </w:rPr>
            <w:t>(Schreiber, Bonner, &amp; Nevius, 2019)</w:t>
          </w:r>
          <w:r w:rsidR="00F91A09">
            <w:rPr>
              <w:color w:val="050505"/>
            </w:rPr>
            <w:fldChar w:fldCharType="end"/>
          </w:r>
        </w:sdtContent>
      </w:sdt>
      <w:r w:rsidR="00CB7BB5" w:rsidRPr="00C54191">
        <w:rPr>
          <w:color w:val="050505"/>
        </w:rPr>
        <w:t>.</w:t>
      </w:r>
      <w:r w:rsidR="00652D49">
        <w:rPr>
          <w:color w:val="050505"/>
        </w:rPr>
        <w:t xml:space="preserve"> According to Schreiber, Bonner, and Nevius (2019), the IRS guideline illustrates that </w:t>
      </w:r>
      <w:r w:rsidR="00526356">
        <w:rPr>
          <w:color w:val="050505"/>
        </w:rPr>
        <w:t>qualified taxable income is paid less 20%, which was supposed to be paid. And therefore, under the law, Drake would be required to pay 20% less of the tax, which was supposed to be paid.</w:t>
      </w:r>
    </w:p>
    <w:tbl>
      <w:tblPr>
        <w:tblW w:w="10833" w:type="dxa"/>
        <w:tblInd w:w="-1118" w:type="dxa"/>
        <w:tblBorders>
          <w:top w:val="single" w:sz="12" w:space="0" w:color="037ABA"/>
          <w:left w:val="single" w:sz="12" w:space="0" w:color="037ABA"/>
          <w:bottom w:val="single" w:sz="12" w:space="0" w:color="037ABA"/>
          <w:right w:val="single" w:sz="12" w:space="0" w:color="037ABA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718"/>
        <w:gridCol w:w="3115"/>
      </w:tblGrid>
      <w:tr w:rsidR="00F91A09" w:rsidTr="003D170F">
        <w:trPr>
          <w:trHeight w:val="233"/>
          <w:tblHeader/>
        </w:trPr>
        <w:tc>
          <w:tcPr>
            <w:tcW w:w="7718" w:type="dxa"/>
            <w:tcBorders>
              <w:top w:val="single" w:sz="12" w:space="0" w:color="037ABA"/>
              <w:bottom w:val="single" w:sz="12" w:space="0" w:color="037ABA"/>
              <w:right w:val="single" w:sz="12" w:space="0" w:color="037ABA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69F6" w:rsidRPr="00C54191" w:rsidRDefault="00102BC2" w:rsidP="00C54191">
            <w:pPr>
              <w:spacing w:line="480" w:lineRule="auto"/>
              <w:rPr>
                <w:b/>
                <w:bCs/>
                <w:color w:val="050505"/>
              </w:rPr>
            </w:pPr>
            <w:bookmarkStart w:id="0" w:name="_GoBack"/>
            <w:bookmarkEnd w:id="0"/>
            <w:r w:rsidRPr="00C54191">
              <w:rPr>
                <w:b/>
                <w:bCs/>
                <w:color w:val="050505"/>
              </w:rPr>
              <w:t>Item</w:t>
            </w:r>
          </w:p>
        </w:tc>
        <w:tc>
          <w:tcPr>
            <w:tcW w:w="3115" w:type="dxa"/>
            <w:tcBorders>
              <w:top w:val="single" w:sz="12" w:space="0" w:color="037ABA"/>
              <w:bottom w:val="single" w:sz="12" w:space="0" w:color="037ABA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69F6" w:rsidRPr="00C54191" w:rsidRDefault="00102BC2" w:rsidP="00C54191">
            <w:pPr>
              <w:spacing w:line="480" w:lineRule="auto"/>
              <w:rPr>
                <w:b/>
                <w:bCs/>
                <w:color w:val="050505"/>
              </w:rPr>
            </w:pPr>
            <w:r w:rsidRPr="00C54191">
              <w:rPr>
                <w:b/>
                <w:bCs/>
                <w:color w:val="050505"/>
              </w:rPr>
              <w:t>Amount</w:t>
            </w:r>
          </w:p>
        </w:tc>
      </w:tr>
      <w:tr w:rsidR="00F91A09" w:rsidTr="003D170F">
        <w:trPr>
          <w:trHeight w:val="246"/>
        </w:trPr>
        <w:tc>
          <w:tcPr>
            <w:tcW w:w="7718" w:type="dxa"/>
            <w:tcBorders>
              <w:bottom w:val="single" w:sz="12" w:space="0" w:color="037ABA"/>
              <w:right w:val="single" w:sz="12" w:space="0" w:color="037ABA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69F6" w:rsidRPr="00C54191" w:rsidRDefault="00102BC2" w:rsidP="00C54191">
            <w:pPr>
              <w:spacing w:line="480" w:lineRule="auto"/>
              <w:rPr>
                <w:bCs/>
                <w:color w:val="050505"/>
              </w:rPr>
            </w:pPr>
            <w:r w:rsidRPr="00C54191">
              <w:rPr>
                <w:bCs/>
                <w:color w:val="050505"/>
              </w:rPr>
              <w:t>Net Income from Operations (S Corp)</w:t>
            </w:r>
          </w:p>
        </w:tc>
        <w:tc>
          <w:tcPr>
            <w:tcW w:w="3115" w:type="dxa"/>
            <w:tcBorders>
              <w:top w:val="single" w:sz="12" w:space="0" w:color="037ABA"/>
              <w:left w:val="single" w:sz="12" w:space="0" w:color="037ABA"/>
              <w:bottom w:val="single" w:sz="12" w:space="0" w:color="037ABA"/>
              <w:right w:val="single" w:sz="12" w:space="0" w:color="037ABA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69F6" w:rsidRPr="00C54191" w:rsidRDefault="00102BC2" w:rsidP="00C54191">
            <w:pPr>
              <w:spacing w:line="480" w:lineRule="auto"/>
              <w:rPr>
                <w:color w:val="050505"/>
              </w:rPr>
            </w:pPr>
            <w:r w:rsidRPr="00C54191">
              <w:rPr>
                <w:color w:val="050505"/>
              </w:rPr>
              <w:t> $175,000</w:t>
            </w:r>
          </w:p>
        </w:tc>
      </w:tr>
      <w:tr w:rsidR="00F91A09" w:rsidTr="003D170F">
        <w:trPr>
          <w:trHeight w:val="233"/>
        </w:trPr>
        <w:tc>
          <w:tcPr>
            <w:tcW w:w="7718" w:type="dxa"/>
            <w:tcBorders>
              <w:bottom w:val="single" w:sz="12" w:space="0" w:color="037ABA"/>
              <w:right w:val="single" w:sz="12" w:space="0" w:color="037ABA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69F6" w:rsidRPr="00C54191" w:rsidRDefault="00102BC2" w:rsidP="00C54191">
            <w:pPr>
              <w:spacing w:line="480" w:lineRule="auto"/>
              <w:rPr>
                <w:bCs/>
                <w:color w:val="050505"/>
              </w:rPr>
            </w:pPr>
            <w:r w:rsidRPr="00C54191">
              <w:rPr>
                <w:bCs/>
                <w:color w:val="050505"/>
              </w:rPr>
              <w:t>Spouse's (Rebecca) Income (from the unrelated business)</w:t>
            </w:r>
          </w:p>
        </w:tc>
        <w:tc>
          <w:tcPr>
            <w:tcW w:w="3115" w:type="dxa"/>
            <w:tcBorders>
              <w:top w:val="single" w:sz="12" w:space="0" w:color="037ABA"/>
              <w:left w:val="single" w:sz="12" w:space="0" w:color="037ABA"/>
              <w:bottom w:val="single" w:sz="12" w:space="0" w:color="037ABA"/>
              <w:right w:val="single" w:sz="12" w:space="0" w:color="037ABA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69F6" w:rsidRPr="00C54191" w:rsidRDefault="00102BC2" w:rsidP="00C54191">
            <w:pPr>
              <w:spacing w:line="480" w:lineRule="auto"/>
              <w:rPr>
                <w:color w:val="050505"/>
              </w:rPr>
            </w:pPr>
            <w:r w:rsidRPr="00C54191">
              <w:rPr>
                <w:color w:val="050505"/>
              </w:rPr>
              <w:t> $50,000</w:t>
            </w:r>
          </w:p>
        </w:tc>
      </w:tr>
      <w:tr w:rsidR="00F91A09" w:rsidTr="003D170F">
        <w:trPr>
          <w:trHeight w:val="246"/>
        </w:trPr>
        <w:tc>
          <w:tcPr>
            <w:tcW w:w="7718" w:type="dxa"/>
            <w:tcBorders>
              <w:bottom w:val="single" w:sz="12" w:space="0" w:color="037ABA"/>
              <w:right w:val="single" w:sz="12" w:space="0" w:color="037ABA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69F6" w:rsidRPr="00C54191" w:rsidRDefault="00102BC2" w:rsidP="00C54191">
            <w:pPr>
              <w:spacing w:line="480" w:lineRule="auto"/>
              <w:rPr>
                <w:bCs/>
                <w:color w:val="050505"/>
              </w:rPr>
            </w:pPr>
            <w:r w:rsidRPr="00C54191">
              <w:rPr>
                <w:bCs/>
                <w:color w:val="050505"/>
              </w:rPr>
              <w:t>Corporate Payroll</w:t>
            </w:r>
          </w:p>
        </w:tc>
        <w:tc>
          <w:tcPr>
            <w:tcW w:w="3115" w:type="dxa"/>
            <w:tcBorders>
              <w:top w:val="single" w:sz="12" w:space="0" w:color="037ABA"/>
              <w:left w:val="single" w:sz="12" w:space="0" w:color="037ABA"/>
              <w:bottom w:val="single" w:sz="12" w:space="0" w:color="037ABA"/>
              <w:right w:val="single" w:sz="12" w:space="0" w:color="037ABA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69F6" w:rsidRPr="00C54191" w:rsidRDefault="00102BC2" w:rsidP="00C54191">
            <w:pPr>
              <w:spacing w:line="480" w:lineRule="auto"/>
              <w:rPr>
                <w:color w:val="050505"/>
              </w:rPr>
            </w:pPr>
            <w:r w:rsidRPr="00C54191">
              <w:rPr>
                <w:color w:val="050505"/>
              </w:rPr>
              <w:t> $150,000</w:t>
            </w:r>
          </w:p>
        </w:tc>
      </w:tr>
      <w:tr w:rsidR="00F91A09" w:rsidTr="003D170F">
        <w:trPr>
          <w:trHeight w:val="233"/>
        </w:trPr>
        <w:tc>
          <w:tcPr>
            <w:tcW w:w="7718" w:type="dxa"/>
            <w:tcBorders>
              <w:bottom w:val="single" w:sz="12" w:space="0" w:color="037ABA"/>
              <w:right w:val="single" w:sz="12" w:space="0" w:color="037ABA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69F6" w:rsidRPr="00C54191" w:rsidRDefault="00102BC2" w:rsidP="00C54191">
            <w:pPr>
              <w:spacing w:line="480" w:lineRule="auto"/>
              <w:rPr>
                <w:bCs/>
                <w:color w:val="050505"/>
              </w:rPr>
            </w:pPr>
            <w:r w:rsidRPr="00C54191">
              <w:rPr>
                <w:bCs/>
                <w:color w:val="050505"/>
              </w:rPr>
              <w:t>Corporate Total Assets</w:t>
            </w:r>
          </w:p>
        </w:tc>
        <w:tc>
          <w:tcPr>
            <w:tcW w:w="3115" w:type="dxa"/>
            <w:tcBorders>
              <w:top w:val="single" w:sz="12" w:space="0" w:color="037ABA"/>
              <w:left w:val="single" w:sz="12" w:space="0" w:color="037ABA"/>
              <w:bottom w:val="single" w:sz="12" w:space="0" w:color="037ABA"/>
              <w:right w:val="single" w:sz="12" w:space="0" w:color="037ABA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69F6" w:rsidRPr="00C54191" w:rsidRDefault="00102BC2" w:rsidP="00C54191">
            <w:pPr>
              <w:spacing w:line="480" w:lineRule="auto"/>
              <w:rPr>
                <w:color w:val="050505"/>
              </w:rPr>
            </w:pPr>
            <w:r w:rsidRPr="00C54191">
              <w:rPr>
                <w:color w:val="050505"/>
              </w:rPr>
              <w:t> $1,500,000</w:t>
            </w:r>
          </w:p>
        </w:tc>
      </w:tr>
      <w:tr w:rsidR="00F91A09" w:rsidTr="003D170F">
        <w:trPr>
          <w:trHeight w:val="233"/>
        </w:trPr>
        <w:tc>
          <w:tcPr>
            <w:tcW w:w="7718" w:type="dxa"/>
            <w:tcBorders>
              <w:bottom w:val="single" w:sz="12" w:space="0" w:color="037ABA"/>
              <w:right w:val="single" w:sz="12" w:space="0" w:color="037ABA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69F6" w:rsidRPr="00C54191" w:rsidRDefault="00102BC2" w:rsidP="00C54191">
            <w:pPr>
              <w:spacing w:line="480" w:lineRule="auto"/>
              <w:rPr>
                <w:bCs/>
                <w:color w:val="050505"/>
              </w:rPr>
            </w:pPr>
            <w:r w:rsidRPr="00C54191">
              <w:rPr>
                <w:bCs/>
                <w:color w:val="050505"/>
              </w:rPr>
              <w:t>Taxable Income from Form 1040</w:t>
            </w:r>
          </w:p>
        </w:tc>
        <w:tc>
          <w:tcPr>
            <w:tcW w:w="3115" w:type="dxa"/>
            <w:tcBorders>
              <w:top w:val="single" w:sz="12" w:space="0" w:color="037ABA"/>
              <w:left w:val="single" w:sz="12" w:space="0" w:color="037ABA"/>
              <w:bottom w:val="single" w:sz="12" w:space="0" w:color="037ABA"/>
              <w:right w:val="single" w:sz="12" w:space="0" w:color="037ABA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69F6" w:rsidRPr="00C54191" w:rsidRDefault="00102BC2" w:rsidP="00C54191">
            <w:pPr>
              <w:spacing w:line="480" w:lineRule="auto"/>
              <w:rPr>
                <w:color w:val="050505"/>
              </w:rPr>
            </w:pPr>
            <w:r w:rsidRPr="00C54191">
              <w:rPr>
                <w:color w:val="050505"/>
              </w:rPr>
              <w:t>$160,000</w:t>
            </w:r>
          </w:p>
        </w:tc>
      </w:tr>
      <w:tr w:rsidR="00F91A09" w:rsidTr="003D170F">
        <w:trPr>
          <w:trHeight w:val="246"/>
        </w:trPr>
        <w:tc>
          <w:tcPr>
            <w:tcW w:w="7718" w:type="dxa"/>
            <w:tcBorders>
              <w:bottom w:val="single" w:sz="12" w:space="0" w:color="037ABA"/>
              <w:right w:val="single" w:sz="12" w:space="0" w:color="037ABA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69F6" w:rsidRPr="00C54191" w:rsidRDefault="00102BC2" w:rsidP="00C54191">
            <w:pPr>
              <w:spacing w:line="480" w:lineRule="auto"/>
              <w:rPr>
                <w:b/>
                <w:bCs/>
                <w:color w:val="050505"/>
              </w:rPr>
            </w:pPr>
            <w:r w:rsidRPr="00C54191">
              <w:rPr>
                <w:b/>
                <w:bCs/>
                <w:color w:val="050505"/>
              </w:rPr>
              <w:t>(Total Tax for</w:t>
            </w:r>
            <w:r w:rsidRPr="00C54191">
              <w:rPr>
                <w:b/>
                <w:bCs/>
                <w:color w:val="050505"/>
              </w:rPr>
              <w:t xml:space="preserve"> Drake's after allowable deductions unrelated to the business)</w:t>
            </w:r>
          </w:p>
        </w:tc>
        <w:tc>
          <w:tcPr>
            <w:tcW w:w="3115" w:type="dxa"/>
            <w:tcBorders>
              <w:top w:val="single" w:sz="12" w:space="0" w:color="037ABA"/>
              <w:left w:val="single" w:sz="12" w:space="0" w:color="037ABA"/>
              <w:bottom w:val="single" w:sz="12" w:space="0" w:color="037ABA"/>
              <w:right w:val="single" w:sz="12" w:space="0" w:color="037ABA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69F6" w:rsidRPr="00C54191" w:rsidRDefault="00102BC2" w:rsidP="00C54191">
            <w:pPr>
              <w:spacing w:line="480" w:lineRule="auto"/>
              <w:rPr>
                <w:b/>
                <w:color w:val="050505"/>
              </w:rPr>
            </w:pPr>
            <w:r w:rsidRPr="00C54191">
              <w:rPr>
                <w:b/>
                <w:color w:val="050505"/>
              </w:rPr>
              <w:t> </w:t>
            </w:r>
            <w:r w:rsidR="009F5213" w:rsidRPr="00C54191">
              <w:rPr>
                <w:b/>
                <w:color w:val="050505"/>
              </w:rPr>
              <w:t>2,035,000.00</w:t>
            </w:r>
          </w:p>
        </w:tc>
      </w:tr>
    </w:tbl>
    <w:p w:rsidR="005274B3" w:rsidRDefault="00102BC2" w:rsidP="00C54191">
      <w:pPr>
        <w:spacing w:line="480" w:lineRule="auto"/>
      </w:pPr>
      <w:r w:rsidRPr="00C54191">
        <w:t xml:space="preserve">In the case of Drake, the 20% tax break would be applied in any income, which is above 150,000 and also below 201,000 as stipulated by the law under section 199A. </w:t>
      </w:r>
      <w:r w:rsidR="00065252" w:rsidRPr="00C54191">
        <w:t>This means that the 20% would be appli</w:t>
      </w:r>
      <w:r w:rsidR="00401CDE" w:rsidRPr="00C54191">
        <w:t xml:space="preserve">ed on net income from the operation, Taxable Income from </w:t>
      </w:r>
      <w:r w:rsidR="00401CDE" w:rsidRPr="00C54191">
        <w:lastRenderedPageBreak/>
        <w:t xml:space="preserve">Form 1040, and Corporate Payroll of the company. </w:t>
      </w:r>
      <w:r w:rsidR="002469EE" w:rsidRPr="00C54191">
        <w:t>The tax deduction of Drakes would, therefore, be reflected as indicated in the table below</w:t>
      </w:r>
      <w:r w:rsidR="00F43313" w:rsidRPr="00C54191">
        <w:t xml:space="preserve">: </w:t>
      </w:r>
    </w:p>
    <w:tbl>
      <w:tblPr>
        <w:tblW w:w="10630" w:type="dxa"/>
        <w:tblInd w:w="-1118" w:type="dxa"/>
        <w:tblBorders>
          <w:top w:val="single" w:sz="12" w:space="0" w:color="037ABA"/>
          <w:left w:val="single" w:sz="12" w:space="0" w:color="037ABA"/>
          <w:bottom w:val="single" w:sz="12" w:space="0" w:color="037ABA"/>
          <w:right w:val="single" w:sz="12" w:space="0" w:color="037ABA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50"/>
        <w:gridCol w:w="1680"/>
      </w:tblGrid>
      <w:tr w:rsidR="00F91A09" w:rsidTr="003D170F">
        <w:trPr>
          <w:trHeight w:val="233"/>
          <w:tblHeader/>
        </w:trPr>
        <w:tc>
          <w:tcPr>
            <w:tcW w:w="0" w:type="auto"/>
            <w:tcBorders>
              <w:top w:val="single" w:sz="12" w:space="0" w:color="037ABA"/>
              <w:bottom w:val="single" w:sz="12" w:space="0" w:color="037ABA"/>
              <w:right w:val="single" w:sz="12" w:space="0" w:color="037ABA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87778" w:rsidRPr="00C54191" w:rsidRDefault="00102BC2" w:rsidP="00C54191">
            <w:pPr>
              <w:spacing w:line="480" w:lineRule="auto"/>
              <w:rPr>
                <w:b/>
                <w:bCs/>
                <w:color w:val="050505"/>
              </w:rPr>
            </w:pPr>
            <w:r w:rsidRPr="00C54191">
              <w:rPr>
                <w:b/>
                <w:bCs/>
                <w:color w:val="050505"/>
              </w:rPr>
              <w:t>Item</w:t>
            </w:r>
          </w:p>
        </w:tc>
        <w:tc>
          <w:tcPr>
            <w:tcW w:w="1680" w:type="dxa"/>
            <w:tcBorders>
              <w:top w:val="single" w:sz="12" w:space="0" w:color="037ABA"/>
              <w:bottom w:val="single" w:sz="12" w:space="0" w:color="037ABA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87778" w:rsidRPr="00C54191" w:rsidRDefault="00102BC2" w:rsidP="00C54191">
            <w:pPr>
              <w:spacing w:line="480" w:lineRule="auto"/>
              <w:rPr>
                <w:b/>
                <w:bCs/>
                <w:color w:val="050505"/>
              </w:rPr>
            </w:pPr>
            <w:r w:rsidRPr="00C54191">
              <w:rPr>
                <w:b/>
                <w:bCs/>
                <w:color w:val="050505"/>
              </w:rPr>
              <w:t>Amount</w:t>
            </w:r>
          </w:p>
        </w:tc>
      </w:tr>
      <w:tr w:rsidR="00F91A09" w:rsidTr="003D170F">
        <w:trPr>
          <w:trHeight w:val="246"/>
        </w:trPr>
        <w:tc>
          <w:tcPr>
            <w:tcW w:w="0" w:type="auto"/>
            <w:tcBorders>
              <w:bottom w:val="single" w:sz="12" w:space="0" w:color="037ABA"/>
              <w:right w:val="single" w:sz="12" w:space="0" w:color="037ABA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87778" w:rsidRPr="00C54191" w:rsidRDefault="00102BC2" w:rsidP="00C54191">
            <w:pPr>
              <w:spacing w:line="480" w:lineRule="auto"/>
              <w:rPr>
                <w:bCs/>
                <w:color w:val="050505"/>
              </w:rPr>
            </w:pPr>
            <w:r w:rsidRPr="00C54191">
              <w:rPr>
                <w:bCs/>
                <w:color w:val="050505"/>
              </w:rPr>
              <w:t xml:space="preserve">Net Income from </w:t>
            </w:r>
            <w:r w:rsidRPr="00C54191">
              <w:rPr>
                <w:bCs/>
                <w:color w:val="050505"/>
              </w:rPr>
              <w:t>Operations (S Corp)</w:t>
            </w:r>
          </w:p>
        </w:tc>
        <w:tc>
          <w:tcPr>
            <w:tcW w:w="1680" w:type="dxa"/>
            <w:tcBorders>
              <w:top w:val="single" w:sz="12" w:space="0" w:color="037ABA"/>
              <w:left w:val="single" w:sz="12" w:space="0" w:color="037ABA"/>
              <w:bottom w:val="single" w:sz="12" w:space="0" w:color="037ABA"/>
              <w:right w:val="single" w:sz="12" w:space="0" w:color="037ABA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87778" w:rsidRPr="00C54191" w:rsidRDefault="00102BC2" w:rsidP="00C54191">
            <w:pPr>
              <w:spacing w:line="480" w:lineRule="auto"/>
              <w:jc w:val="right"/>
              <w:rPr>
                <w:color w:val="050505"/>
              </w:rPr>
            </w:pPr>
            <w:r w:rsidRPr="00C54191">
              <w:rPr>
                <w:color w:val="050505"/>
              </w:rPr>
              <w:t> $140,000.00</w:t>
            </w:r>
          </w:p>
        </w:tc>
      </w:tr>
      <w:tr w:rsidR="00F91A09" w:rsidTr="003D170F">
        <w:trPr>
          <w:trHeight w:val="233"/>
        </w:trPr>
        <w:tc>
          <w:tcPr>
            <w:tcW w:w="0" w:type="auto"/>
            <w:tcBorders>
              <w:bottom w:val="single" w:sz="12" w:space="0" w:color="037ABA"/>
              <w:right w:val="single" w:sz="12" w:space="0" w:color="037ABA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87778" w:rsidRPr="00C54191" w:rsidRDefault="00102BC2" w:rsidP="00C54191">
            <w:pPr>
              <w:spacing w:line="480" w:lineRule="auto"/>
              <w:rPr>
                <w:bCs/>
                <w:color w:val="050505"/>
              </w:rPr>
            </w:pPr>
            <w:r w:rsidRPr="00C54191">
              <w:rPr>
                <w:bCs/>
                <w:color w:val="050505"/>
              </w:rPr>
              <w:t>Spouse's (Rebecca) Income (from the unrelated business)</w:t>
            </w:r>
          </w:p>
        </w:tc>
        <w:tc>
          <w:tcPr>
            <w:tcW w:w="1680" w:type="dxa"/>
            <w:tcBorders>
              <w:top w:val="single" w:sz="12" w:space="0" w:color="037ABA"/>
              <w:left w:val="single" w:sz="12" w:space="0" w:color="037ABA"/>
              <w:bottom w:val="single" w:sz="12" w:space="0" w:color="037ABA"/>
              <w:right w:val="single" w:sz="12" w:space="0" w:color="037ABA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87778" w:rsidRPr="00C54191" w:rsidRDefault="00102BC2" w:rsidP="00C54191">
            <w:pPr>
              <w:spacing w:line="480" w:lineRule="auto"/>
              <w:jc w:val="right"/>
              <w:rPr>
                <w:color w:val="050505"/>
              </w:rPr>
            </w:pPr>
            <w:r w:rsidRPr="00C54191">
              <w:rPr>
                <w:color w:val="050505"/>
              </w:rPr>
              <w:t> $50,000.00</w:t>
            </w:r>
          </w:p>
        </w:tc>
      </w:tr>
      <w:tr w:rsidR="00F91A09" w:rsidTr="003D170F">
        <w:trPr>
          <w:trHeight w:val="246"/>
        </w:trPr>
        <w:tc>
          <w:tcPr>
            <w:tcW w:w="0" w:type="auto"/>
            <w:tcBorders>
              <w:bottom w:val="single" w:sz="12" w:space="0" w:color="037ABA"/>
              <w:right w:val="single" w:sz="12" w:space="0" w:color="037ABA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87778" w:rsidRPr="00C54191" w:rsidRDefault="00102BC2" w:rsidP="00C54191">
            <w:pPr>
              <w:spacing w:line="480" w:lineRule="auto"/>
              <w:rPr>
                <w:bCs/>
                <w:color w:val="050505"/>
              </w:rPr>
            </w:pPr>
            <w:r w:rsidRPr="00C54191">
              <w:rPr>
                <w:bCs/>
                <w:color w:val="050505"/>
              </w:rPr>
              <w:t>Corporate Payroll</w:t>
            </w:r>
          </w:p>
        </w:tc>
        <w:tc>
          <w:tcPr>
            <w:tcW w:w="1680" w:type="dxa"/>
            <w:tcBorders>
              <w:top w:val="single" w:sz="12" w:space="0" w:color="037ABA"/>
              <w:left w:val="single" w:sz="12" w:space="0" w:color="037ABA"/>
              <w:bottom w:val="single" w:sz="12" w:space="0" w:color="037ABA"/>
              <w:right w:val="single" w:sz="12" w:space="0" w:color="037ABA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87778" w:rsidRPr="00C54191" w:rsidRDefault="00102BC2" w:rsidP="00C54191">
            <w:pPr>
              <w:spacing w:line="480" w:lineRule="auto"/>
              <w:jc w:val="right"/>
              <w:rPr>
                <w:color w:val="050505"/>
              </w:rPr>
            </w:pPr>
            <w:r w:rsidRPr="00C54191">
              <w:rPr>
                <w:color w:val="050505"/>
              </w:rPr>
              <w:t> $120,000.00</w:t>
            </w:r>
          </w:p>
        </w:tc>
      </w:tr>
      <w:tr w:rsidR="00F91A09" w:rsidTr="003D170F">
        <w:trPr>
          <w:trHeight w:val="233"/>
        </w:trPr>
        <w:tc>
          <w:tcPr>
            <w:tcW w:w="0" w:type="auto"/>
            <w:tcBorders>
              <w:bottom w:val="single" w:sz="12" w:space="0" w:color="037ABA"/>
              <w:right w:val="single" w:sz="12" w:space="0" w:color="037ABA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87778" w:rsidRPr="00C54191" w:rsidRDefault="00102BC2" w:rsidP="00C54191">
            <w:pPr>
              <w:spacing w:line="480" w:lineRule="auto"/>
              <w:rPr>
                <w:bCs/>
                <w:color w:val="050505"/>
              </w:rPr>
            </w:pPr>
            <w:r w:rsidRPr="00C54191">
              <w:rPr>
                <w:bCs/>
                <w:color w:val="050505"/>
              </w:rPr>
              <w:t>Corporate Total Assets</w:t>
            </w:r>
          </w:p>
        </w:tc>
        <w:tc>
          <w:tcPr>
            <w:tcW w:w="1680" w:type="dxa"/>
            <w:tcBorders>
              <w:top w:val="single" w:sz="12" w:space="0" w:color="037ABA"/>
              <w:left w:val="single" w:sz="12" w:space="0" w:color="037ABA"/>
              <w:bottom w:val="single" w:sz="12" w:space="0" w:color="037ABA"/>
              <w:right w:val="single" w:sz="12" w:space="0" w:color="037ABA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87778" w:rsidRPr="00C54191" w:rsidRDefault="00102BC2" w:rsidP="00C54191">
            <w:pPr>
              <w:spacing w:line="480" w:lineRule="auto"/>
              <w:jc w:val="right"/>
              <w:rPr>
                <w:color w:val="050505"/>
              </w:rPr>
            </w:pPr>
            <w:r w:rsidRPr="00C54191">
              <w:rPr>
                <w:color w:val="050505"/>
              </w:rPr>
              <w:t> $1,500,000.00</w:t>
            </w:r>
          </w:p>
        </w:tc>
      </w:tr>
      <w:tr w:rsidR="00F91A09" w:rsidTr="003D170F">
        <w:trPr>
          <w:trHeight w:val="233"/>
        </w:trPr>
        <w:tc>
          <w:tcPr>
            <w:tcW w:w="0" w:type="auto"/>
            <w:tcBorders>
              <w:bottom w:val="single" w:sz="12" w:space="0" w:color="037ABA"/>
              <w:right w:val="single" w:sz="12" w:space="0" w:color="037ABA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87778" w:rsidRPr="00C54191" w:rsidRDefault="00102BC2" w:rsidP="00C54191">
            <w:pPr>
              <w:spacing w:line="480" w:lineRule="auto"/>
              <w:rPr>
                <w:bCs/>
                <w:color w:val="050505"/>
              </w:rPr>
            </w:pPr>
            <w:r w:rsidRPr="00C54191">
              <w:rPr>
                <w:bCs/>
                <w:color w:val="050505"/>
              </w:rPr>
              <w:t>Taxable Income from Form 1040</w:t>
            </w:r>
          </w:p>
        </w:tc>
        <w:tc>
          <w:tcPr>
            <w:tcW w:w="1680" w:type="dxa"/>
            <w:tcBorders>
              <w:top w:val="single" w:sz="12" w:space="0" w:color="037ABA"/>
              <w:left w:val="single" w:sz="12" w:space="0" w:color="037ABA"/>
              <w:bottom w:val="single" w:sz="12" w:space="0" w:color="037ABA"/>
              <w:right w:val="single" w:sz="12" w:space="0" w:color="037ABA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87778" w:rsidRPr="00C54191" w:rsidRDefault="00102BC2" w:rsidP="00C54191">
            <w:pPr>
              <w:spacing w:line="480" w:lineRule="auto"/>
              <w:jc w:val="right"/>
              <w:rPr>
                <w:color w:val="050505"/>
              </w:rPr>
            </w:pPr>
            <w:r w:rsidRPr="00C54191">
              <w:rPr>
                <w:color w:val="050505"/>
              </w:rPr>
              <w:t>$128,000.00</w:t>
            </w:r>
          </w:p>
        </w:tc>
      </w:tr>
      <w:tr w:rsidR="00F91A09" w:rsidTr="003D170F">
        <w:trPr>
          <w:trHeight w:val="246"/>
        </w:trPr>
        <w:tc>
          <w:tcPr>
            <w:tcW w:w="0" w:type="auto"/>
            <w:tcBorders>
              <w:bottom w:val="single" w:sz="12" w:space="0" w:color="037ABA"/>
              <w:right w:val="single" w:sz="12" w:space="0" w:color="037ABA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87778" w:rsidRPr="00C54191" w:rsidRDefault="00102BC2" w:rsidP="00C54191">
            <w:pPr>
              <w:spacing w:line="480" w:lineRule="auto"/>
              <w:rPr>
                <w:b/>
                <w:bCs/>
                <w:color w:val="050505"/>
              </w:rPr>
            </w:pPr>
            <w:r w:rsidRPr="00C54191">
              <w:rPr>
                <w:b/>
                <w:bCs/>
                <w:color w:val="050505"/>
              </w:rPr>
              <w:t xml:space="preserve">(Total Tax for Drake's after allowable </w:t>
            </w:r>
            <w:r w:rsidRPr="00C54191">
              <w:rPr>
                <w:b/>
                <w:bCs/>
                <w:color w:val="050505"/>
              </w:rPr>
              <w:t>deductions unrelated to the business)</w:t>
            </w:r>
          </w:p>
        </w:tc>
        <w:tc>
          <w:tcPr>
            <w:tcW w:w="1680" w:type="dxa"/>
            <w:tcBorders>
              <w:top w:val="single" w:sz="12" w:space="0" w:color="037ABA"/>
              <w:left w:val="single" w:sz="12" w:space="0" w:color="037ABA"/>
              <w:bottom w:val="single" w:sz="12" w:space="0" w:color="037ABA"/>
              <w:right w:val="single" w:sz="12" w:space="0" w:color="037ABA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87778" w:rsidRPr="00C54191" w:rsidRDefault="00102BC2" w:rsidP="00C54191">
            <w:pPr>
              <w:spacing w:line="480" w:lineRule="auto"/>
              <w:jc w:val="right"/>
              <w:rPr>
                <w:b/>
                <w:color w:val="050505"/>
              </w:rPr>
            </w:pPr>
            <w:r w:rsidRPr="00C54191">
              <w:rPr>
                <w:b/>
                <w:color w:val="050505"/>
              </w:rPr>
              <w:t> $1,938,000.00</w:t>
            </w:r>
          </w:p>
        </w:tc>
      </w:tr>
    </w:tbl>
    <w:p w:rsidR="0076606F" w:rsidRDefault="0076606F" w:rsidP="00C54191">
      <w:pPr>
        <w:spacing w:line="480" w:lineRule="auto"/>
      </w:pPr>
    </w:p>
    <w:p w:rsidR="00487778" w:rsidRDefault="00102BC2" w:rsidP="00C54191">
      <w:pPr>
        <w:spacing w:line="480" w:lineRule="auto"/>
      </w:pPr>
      <w:r w:rsidRPr="00C54191">
        <w:t xml:space="preserve">It is, therefore, established that before applying a 20% tax break under section 199A, Drake would be required to pay  $2,035,000.00, income tax to the IRS. However, after the application of a 20% tax </w:t>
      </w:r>
      <w:r w:rsidRPr="00C54191">
        <w:t>break, which Drake is entitled to under section 199A, the company would be required to submit $1,938,000.00.</w:t>
      </w:r>
    </w:p>
    <w:p w:rsidR="0076606F" w:rsidRPr="00C54191" w:rsidRDefault="00102BC2" w:rsidP="00C54191">
      <w:pPr>
        <w:spacing w:line="480" w:lineRule="auto"/>
      </w:pPr>
      <w:r>
        <w:t>The best strategies to help Drake minimize the tax payable in the future would be to spread his fee to be within the limit required for the qualifi</w:t>
      </w:r>
      <w:r>
        <w:t>cation of tax break under section 199A.</w:t>
      </w:r>
    </w:p>
    <w:sectPr w:rsidR="0076606F" w:rsidRPr="00C54191" w:rsidSect="00C54191">
      <w:headerReference w:type="default" r:id="rId7"/>
      <w:headerReference w:type="first" r:id="rId8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2BC2" w:rsidRDefault="00102BC2" w:rsidP="00F91A09">
      <w:r>
        <w:separator/>
      </w:r>
    </w:p>
  </w:endnote>
  <w:endnote w:type="continuationSeparator" w:id="1">
    <w:p w:rsidR="00102BC2" w:rsidRDefault="00102BC2" w:rsidP="00F91A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2BC2" w:rsidRDefault="00102BC2" w:rsidP="00F91A09">
      <w:r>
        <w:separator/>
      </w:r>
    </w:p>
  </w:footnote>
  <w:footnote w:type="continuationSeparator" w:id="1">
    <w:p w:rsidR="00102BC2" w:rsidRDefault="00102BC2" w:rsidP="00F91A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191" w:rsidRDefault="00102BC2">
    <w:pPr>
      <w:pStyle w:val="Header"/>
    </w:pPr>
    <w:r w:rsidRPr="00B34043">
      <w:t>TAX QUESTION</w:t>
    </w:r>
    <w:r>
      <w:ptab w:relativeTo="margin" w:alignment="right" w:leader="none"/>
    </w:r>
    <w:r w:rsidR="00F91A09">
      <w:fldChar w:fldCharType="begin"/>
    </w:r>
    <w:r>
      <w:instrText xml:space="preserve"> PAGE   \* MERGEFORMAT </w:instrText>
    </w:r>
    <w:r w:rsidR="00F91A09">
      <w:fldChar w:fldCharType="separate"/>
    </w:r>
    <w:r w:rsidR="00EB77D5">
      <w:rPr>
        <w:noProof/>
      </w:rPr>
      <w:t>2</w:t>
    </w:r>
    <w:r w:rsidR="00F91A09">
      <w:fldChar w:fldCharType="end"/>
    </w:r>
  </w:p>
  <w:p w:rsidR="00C54191" w:rsidRDefault="00C5419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191" w:rsidRDefault="00102BC2">
    <w:pPr>
      <w:pStyle w:val="Header"/>
    </w:pPr>
    <w:r>
      <w:t xml:space="preserve">Running head: </w:t>
    </w:r>
    <w:r w:rsidRPr="00C54191">
      <w:t>TAX QUESTION</w:t>
    </w:r>
    <w:r>
      <w:ptab w:relativeTo="margin" w:alignment="right" w:leader="none"/>
    </w:r>
    <w:r>
      <w:t>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stylePaneFormatFilter w:val="3F01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69F6"/>
    <w:rsid w:val="00023FF0"/>
    <w:rsid w:val="00065252"/>
    <w:rsid w:val="000957D4"/>
    <w:rsid w:val="00102BC2"/>
    <w:rsid w:val="00210039"/>
    <w:rsid w:val="002469EE"/>
    <w:rsid w:val="003D170F"/>
    <w:rsid w:val="00401CDE"/>
    <w:rsid w:val="00487778"/>
    <w:rsid w:val="00526356"/>
    <w:rsid w:val="005274B3"/>
    <w:rsid w:val="00560D67"/>
    <w:rsid w:val="00652D49"/>
    <w:rsid w:val="006D37F1"/>
    <w:rsid w:val="0076606F"/>
    <w:rsid w:val="007B3935"/>
    <w:rsid w:val="007F29E5"/>
    <w:rsid w:val="009B0AE7"/>
    <w:rsid w:val="009F5213"/>
    <w:rsid w:val="00B34043"/>
    <w:rsid w:val="00BD69F6"/>
    <w:rsid w:val="00C54191"/>
    <w:rsid w:val="00C8541E"/>
    <w:rsid w:val="00CB7BB5"/>
    <w:rsid w:val="00EB77D5"/>
    <w:rsid w:val="00F43313"/>
    <w:rsid w:val="00F6392E"/>
    <w:rsid w:val="00F91A09"/>
    <w:rsid w:val="00FA2F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6392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D69F6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rsid w:val="00C541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4191"/>
    <w:rPr>
      <w:sz w:val="24"/>
      <w:szCs w:val="24"/>
    </w:rPr>
  </w:style>
  <w:style w:type="paragraph" w:styleId="Footer">
    <w:name w:val="footer"/>
    <w:basedOn w:val="Normal"/>
    <w:link w:val="FooterChar"/>
    <w:rsid w:val="00C541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54191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C541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541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Sch19</b:Tag>
    <b:SourceType>JournalArticle</b:SourceType>
    <b:Guid>{D953A226-B219-458A-B546-6382BDB51591}</b:Guid>
    <b:LCID>0</b:LCID>
    <b:Author>
      <b:Author>
        <b:NameList>
          <b:Person>
            <b:Last>Schreiber</b:Last>
            <b:First>Sally</b:First>
            <b:Middle>P.</b:Middle>
          </b:Person>
          <b:Person>
            <b:Last>Bonner</b:Last>
            <b:First>Paul</b:First>
          </b:Person>
          <b:Person>
            <b:Last>Nevius</b:Last>
            <b:First>Alistair</b:First>
            <b:Middle>M</b:Middle>
          </b:Person>
        </b:NameList>
      </b:Author>
    </b:Author>
    <b:Title>Qualified business income deduction regs. and other guidance issued</b:Title>
    <b:Year>2019</b:Year>
    <b:JournalName>https://www.journalofaccountancy.com/news/2019/jan/sec-199a-qbi-deduction-201920483.html</b:JournalName>
    <b:Pages>2-15</b:Pages>
    <b:RefOrder>1</b:RefOrder>
  </b:Source>
</b:Sources>
</file>

<file path=customXml/itemProps1.xml><?xml version="1.0" encoding="utf-8"?>
<ds:datastoreItem xmlns:ds="http://schemas.openxmlformats.org/officeDocument/2006/customXml" ds:itemID="{D3CC0095-EA66-4661-B9C0-7B98C38B6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Manolis</dc:creator>
  <cp:lastModifiedBy>jnr</cp:lastModifiedBy>
  <cp:revision>2</cp:revision>
  <dcterms:created xsi:type="dcterms:W3CDTF">2019-06-18T03:16:00Z</dcterms:created>
  <dcterms:modified xsi:type="dcterms:W3CDTF">2019-06-18T03:16:00Z</dcterms:modified>
</cp:coreProperties>
</file>