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1AD99508" w:rsidR="00C63999" w:rsidRPr="00A224FE" w:rsidRDefault="00CA6A2B" w:rsidP="006F20A4">
      <w:pPr>
        <w:pStyle w:val="Title"/>
        <w:rPr>
          <w:color w:val="000000" w:themeColor="text1"/>
        </w:rPr>
      </w:pPr>
      <w:r>
        <w:rPr>
          <w:color w:val="000000" w:themeColor="text1"/>
        </w:rPr>
        <w:t>Gender and the Law</w:t>
      </w:r>
      <w:r w:rsidR="00F967EF">
        <w:rPr>
          <w:color w:val="000000" w:themeColor="text1"/>
        </w:rPr>
        <w:t xml:space="preserve"> </w:t>
      </w:r>
      <w:r w:rsidR="00D35118" w:rsidRPr="00A224FE">
        <w:rPr>
          <w:color w:val="000000" w:themeColor="text1"/>
        </w:rPr>
        <w:t xml:space="preserve"> </w:t>
      </w:r>
    </w:p>
    <w:p w14:paraId="40545637" w14:textId="2290DE2A" w:rsidR="00C63999" w:rsidRPr="00A224FE" w:rsidRDefault="00CA6A2B" w:rsidP="006F20A4">
      <w:pPr>
        <w:pStyle w:val="Title2"/>
        <w:rPr>
          <w:color w:val="000000" w:themeColor="text1"/>
        </w:rPr>
      </w:pPr>
      <w:r w:rsidRPr="00A224FE">
        <w:rPr>
          <w:color w:val="000000" w:themeColor="text1"/>
        </w:rPr>
        <w:t>Name</w:t>
      </w:r>
    </w:p>
    <w:p w14:paraId="22FE8A33" w14:textId="7E7C5F1B" w:rsidR="00E81978" w:rsidRPr="00A224FE" w:rsidRDefault="00CA6A2B" w:rsidP="006F20A4">
      <w:pPr>
        <w:pStyle w:val="Title2"/>
        <w:rPr>
          <w:color w:val="000000" w:themeColor="text1"/>
        </w:rPr>
      </w:pPr>
      <w:r w:rsidRPr="00A224FE">
        <w:rPr>
          <w:color w:val="000000" w:themeColor="text1"/>
        </w:rPr>
        <w:t>[Institutional Affiliation(s)]</w:t>
      </w:r>
    </w:p>
    <w:p w14:paraId="1A087968" w14:textId="77777777" w:rsidR="00E81978" w:rsidRPr="00A224FE" w:rsidRDefault="00CA6A2B" w:rsidP="006F20A4">
      <w:pPr>
        <w:pStyle w:val="Title"/>
        <w:rPr>
          <w:color w:val="000000" w:themeColor="text1"/>
        </w:rPr>
      </w:pPr>
      <w:r w:rsidRPr="00A224FE">
        <w:rPr>
          <w:color w:val="000000" w:themeColor="text1"/>
        </w:rPr>
        <w:t>Author Note</w:t>
      </w:r>
    </w:p>
    <w:p w14:paraId="221AC589" w14:textId="77777777" w:rsidR="00E81978" w:rsidRPr="00A224FE" w:rsidRDefault="00E81978" w:rsidP="006F20A4">
      <w:pPr>
        <w:rPr>
          <w:color w:val="000000" w:themeColor="text1"/>
        </w:rPr>
      </w:pPr>
    </w:p>
    <w:p w14:paraId="2B082ABA" w14:textId="77777777" w:rsidR="005D20A5" w:rsidRPr="00A224FE" w:rsidRDefault="00CA6A2B">
      <w:pPr>
        <w:spacing w:line="240" w:lineRule="auto"/>
        <w:rPr>
          <w:b/>
          <w:color w:val="000000" w:themeColor="text1"/>
          <w:kern w:val="24"/>
        </w:rPr>
      </w:pPr>
      <w:r w:rsidRPr="00A224FE">
        <w:rPr>
          <w:bCs/>
          <w:color w:val="000000" w:themeColor="text1"/>
        </w:rPr>
        <w:br w:type="page"/>
      </w:r>
    </w:p>
    <w:p w14:paraId="66B12A7A" w14:textId="62458AB8" w:rsidR="005D20A5" w:rsidRPr="00A224FE" w:rsidRDefault="00CA6A2B" w:rsidP="00A001E4">
      <w:pPr>
        <w:pStyle w:val="Heading1"/>
        <w:rPr>
          <w:color w:val="000000" w:themeColor="text1"/>
        </w:rPr>
      </w:pPr>
      <w:r>
        <w:rPr>
          <w:color w:val="000000" w:themeColor="text1"/>
        </w:rPr>
        <w:lastRenderedPageBreak/>
        <w:t>Gender and the Law</w:t>
      </w:r>
    </w:p>
    <w:p w14:paraId="5FF702F8" w14:textId="5944EB3D" w:rsidR="009C6F01" w:rsidRDefault="00CA6A2B" w:rsidP="009C6F01">
      <w:pPr>
        <w:jc w:val="both"/>
        <w:rPr>
          <w:rFonts w:eastAsia="Times New Roman"/>
          <w:b/>
          <w:bCs/>
        </w:rPr>
      </w:pPr>
      <w:r>
        <w:rPr>
          <w:rFonts w:eastAsia="Times New Roman"/>
          <w:b/>
          <w:bCs/>
        </w:rPr>
        <w:t>Part 1 Terms</w:t>
      </w:r>
    </w:p>
    <w:p w14:paraId="2239DA68" w14:textId="77777777" w:rsidR="009C6F01" w:rsidRPr="009C6F01" w:rsidRDefault="00CA6A2B" w:rsidP="009C6F01">
      <w:pPr>
        <w:pStyle w:val="ListParagraph"/>
        <w:numPr>
          <w:ilvl w:val="0"/>
          <w:numId w:val="16"/>
        </w:numPr>
        <w:jc w:val="both"/>
        <w:rPr>
          <w:rFonts w:eastAsia="Times New Roman"/>
          <w:bCs/>
        </w:rPr>
      </w:pPr>
      <w:r w:rsidRPr="009C6F01">
        <w:rPr>
          <w:rFonts w:eastAsia="Times New Roman"/>
          <w:bCs/>
        </w:rPr>
        <w:t xml:space="preserve">Access to justice </w:t>
      </w:r>
    </w:p>
    <w:p w14:paraId="207C9A5B" w14:textId="77777777" w:rsidR="009C6F01" w:rsidRPr="009C6F01" w:rsidRDefault="00CA6A2B" w:rsidP="009C6F01">
      <w:pPr>
        <w:pStyle w:val="ListParagraph"/>
        <w:numPr>
          <w:ilvl w:val="0"/>
          <w:numId w:val="16"/>
        </w:numPr>
        <w:jc w:val="both"/>
        <w:rPr>
          <w:rFonts w:eastAsia="Times New Roman"/>
          <w:bCs/>
        </w:rPr>
      </w:pPr>
      <w:r w:rsidRPr="009C6F01">
        <w:rPr>
          <w:rFonts w:eastAsia="Times New Roman"/>
          <w:bCs/>
        </w:rPr>
        <w:t>Indian Act</w:t>
      </w:r>
    </w:p>
    <w:p w14:paraId="673A4EFA" w14:textId="77777777" w:rsidR="009C6F01" w:rsidRPr="009C6F01" w:rsidRDefault="00CA6A2B" w:rsidP="009C6F01">
      <w:pPr>
        <w:pStyle w:val="ListParagraph"/>
        <w:numPr>
          <w:ilvl w:val="0"/>
          <w:numId w:val="16"/>
        </w:numPr>
        <w:jc w:val="both"/>
        <w:rPr>
          <w:rFonts w:eastAsia="Times New Roman"/>
          <w:bCs/>
        </w:rPr>
      </w:pPr>
      <w:r w:rsidRPr="009C6F01">
        <w:rPr>
          <w:rFonts w:eastAsia="Times New Roman"/>
          <w:bCs/>
        </w:rPr>
        <w:t xml:space="preserve">Formal Equality </w:t>
      </w:r>
    </w:p>
    <w:p w14:paraId="42F4B652" w14:textId="77777777" w:rsidR="009C6F01" w:rsidRPr="009C6F01" w:rsidRDefault="00CA6A2B" w:rsidP="009C6F01">
      <w:pPr>
        <w:pStyle w:val="ListParagraph"/>
        <w:numPr>
          <w:ilvl w:val="0"/>
          <w:numId w:val="16"/>
        </w:numPr>
        <w:jc w:val="both"/>
        <w:rPr>
          <w:rFonts w:eastAsia="Times New Roman"/>
          <w:bCs/>
        </w:rPr>
      </w:pPr>
      <w:r w:rsidRPr="009C6F01">
        <w:rPr>
          <w:rFonts w:eastAsia="Times New Roman"/>
          <w:bCs/>
        </w:rPr>
        <w:t xml:space="preserve">Gender Binary </w:t>
      </w:r>
    </w:p>
    <w:p w14:paraId="126B74F5" w14:textId="64C27782" w:rsidR="009C6F01" w:rsidRPr="00D91B47" w:rsidRDefault="00CA6A2B" w:rsidP="00D91B47">
      <w:pPr>
        <w:pStyle w:val="ListParagraph"/>
        <w:numPr>
          <w:ilvl w:val="0"/>
          <w:numId w:val="16"/>
        </w:numPr>
        <w:jc w:val="both"/>
        <w:rPr>
          <w:rFonts w:eastAsia="Times New Roman"/>
          <w:bCs/>
        </w:rPr>
      </w:pPr>
      <w:r w:rsidRPr="009C6F01">
        <w:rPr>
          <w:rFonts w:eastAsia="Times New Roman"/>
          <w:bCs/>
        </w:rPr>
        <w:t>Hyde v. Hyde</w:t>
      </w:r>
    </w:p>
    <w:p w14:paraId="240E31CB" w14:textId="77777777" w:rsidR="009C6F01" w:rsidRDefault="00CA6A2B" w:rsidP="009C6F01">
      <w:pPr>
        <w:pStyle w:val="Heading2"/>
      </w:pPr>
      <w:r>
        <w:t>F</w:t>
      </w:r>
      <w:r>
        <w:t>ormal Equality</w:t>
      </w:r>
    </w:p>
    <w:p w14:paraId="4F98FAE8" w14:textId="77777777" w:rsidR="009C6F01" w:rsidRDefault="00CA6A2B" w:rsidP="009C6F01">
      <w:pPr>
        <w:ind w:firstLine="720"/>
        <w:jc w:val="both"/>
      </w:pPr>
      <w:r>
        <w:t xml:space="preserve">It is a form of equality applied to men and women in a </w:t>
      </w:r>
      <w:r>
        <w:t>formal way that includes men and women are equal in all rules and regulations.</w:t>
      </w:r>
    </w:p>
    <w:p w14:paraId="3ADE7F08" w14:textId="77777777" w:rsidR="009C6F01" w:rsidRDefault="00CA6A2B" w:rsidP="009C6F01">
      <w:pPr>
        <w:jc w:val="both"/>
      </w:pPr>
      <w:r>
        <w:t>When: formal equality if applied to all perspectives such as social, political and financial areas of communities.</w:t>
      </w:r>
    </w:p>
    <w:p w14:paraId="04BC2D34" w14:textId="77777777" w:rsidR="009C6F01" w:rsidRDefault="00CA6A2B" w:rsidP="009C6F01">
      <w:pPr>
        <w:jc w:val="both"/>
      </w:pPr>
      <w:r>
        <w:t>Where: it implies that privilege is provided equally to all sp</w:t>
      </w:r>
      <w:r>
        <w:t>heres of life.</w:t>
      </w:r>
    </w:p>
    <w:p w14:paraId="421EC875" w14:textId="339FD8B7" w:rsidR="009C6F01" w:rsidRDefault="00CA6A2B" w:rsidP="009C6F01">
      <w:pPr>
        <w:jc w:val="both"/>
      </w:pPr>
      <w:r>
        <w:t>What: formal equality is a subject that state men and women are equal in all means and it improves the way of living and discourages discrimination among men and women (Feminism, social movements, shifting notions of equality, topic 3, slide</w:t>
      </w:r>
      <w:r>
        <w:t xml:space="preserve"> 21). </w:t>
      </w:r>
    </w:p>
    <w:p w14:paraId="31FCFC8F" w14:textId="77777777" w:rsidR="009C6F01" w:rsidRDefault="00CA6A2B" w:rsidP="009C6F01">
      <w:pPr>
        <w:jc w:val="both"/>
      </w:pPr>
      <w:r>
        <w:t>How: formal equality applies to all disciplines including social and communal life.</w:t>
      </w:r>
    </w:p>
    <w:p w14:paraId="5171BB70" w14:textId="77777777" w:rsidR="009C6F01" w:rsidRDefault="00CA6A2B" w:rsidP="009C6F01">
      <w:pPr>
        <w:pStyle w:val="Heading2"/>
      </w:pPr>
      <w:r>
        <w:t>Analysis</w:t>
      </w:r>
    </w:p>
    <w:p w14:paraId="47E18A02" w14:textId="42610C33" w:rsidR="009C6F01" w:rsidRDefault="00CA6A2B" w:rsidP="009C6F01">
      <w:pPr>
        <w:ind w:firstLine="720"/>
        <w:jc w:val="both"/>
      </w:pPr>
      <w:r>
        <w:t>Formal equality is significantly important for the implications of justice in communities. It implies the idea of equality among males and females that emphasis on recognition of rights of women equal to men (Feminism, social movements, shifting notions of</w:t>
      </w:r>
      <w:r>
        <w:t xml:space="preserve"> equality, topic 3, slide 21). The idea implies the significance of equality as gender discrimination is a root cause for decision-making issues in societies (Feminism, social movements, shifting notions of equality, topic 3, slide </w:t>
      </w:r>
      <w:r>
        <w:lastRenderedPageBreak/>
        <w:t>21). To reduce discrimin</w:t>
      </w:r>
      <w:r>
        <w:t>ation from communities, formal equality has to be established and maintained in communities.</w:t>
      </w:r>
    </w:p>
    <w:p w14:paraId="32785CA6" w14:textId="77777777" w:rsidR="009C6F01" w:rsidRDefault="00CA6A2B" w:rsidP="009C6F01">
      <w:pPr>
        <w:pStyle w:val="Heading2"/>
      </w:pPr>
      <w:r>
        <w:t>Indian Act</w:t>
      </w:r>
    </w:p>
    <w:p w14:paraId="4E8711B0" w14:textId="77777777" w:rsidR="009C6F01" w:rsidRDefault="00CA6A2B" w:rsidP="009C6F01">
      <w:pPr>
        <w:jc w:val="both"/>
      </w:pPr>
      <w:r>
        <w:t>When: Indian act was established in the year 1876.</w:t>
      </w:r>
    </w:p>
    <w:p w14:paraId="2EBE6E6C" w14:textId="53249329" w:rsidR="009C6F01" w:rsidRDefault="00CA6A2B" w:rsidP="009C6F01">
      <w:pPr>
        <w:jc w:val="both"/>
      </w:pPr>
      <w:r>
        <w:t xml:space="preserve">Where: Canada was founded but the laws of the government were followed by aboriginal affairs </w:t>
      </w:r>
      <w:r>
        <w:t xml:space="preserve">(Gender, law, colonialism Slide 18, topic 4). </w:t>
      </w:r>
    </w:p>
    <w:p w14:paraId="5A9EE4C6" w14:textId="77777777" w:rsidR="009C6F01" w:rsidRDefault="00CA6A2B" w:rsidP="009C6F01">
      <w:pPr>
        <w:jc w:val="both"/>
      </w:pPr>
      <w:r>
        <w:t xml:space="preserve">What: the Act was meant to regulate affairs particularly land, social, education, wills and administration (Gender, law, colonialism Slide 18, topic 4). </w:t>
      </w:r>
    </w:p>
    <w:p w14:paraId="5A9DAA2B" w14:textId="7A9E23BB" w:rsidR="009C6F01" w:rsidRDefault="00CA6A2B" w:rsidP="009C6F01">
      <w:pPr>
        <w:jc w:val="both"/>
      </w:pPr>
      <w:r>
        <w:t>How: the Act was to control and regulate aboriginal aff</w:t>
      </w:r>
      <w:r>
        <w:t xml:space="preserve">airs however, it controls all aspects of living (Gender, law, colonialism Slide 18, topic 4). It mainly defines who and who is not identified as Indian. </w:t>
      </w:r>
    </w:p>
    <w:p w14:paraId="6D9617CC" w14:textId="77777777" w:rsidR="009C6F01" w:rsidRPr="009C6F01" w:rsidRDefault="00CA6A2B" w:rsidP="009C6F01">
      <w:pPr>
        <w:jc w:val="both"/>
        <w:rPr>
          <w:b/>
        </w:rPr>
      </w:pPr>
      <w:r w:rsidRPr="009C6F01">
        <w:rPr>
          <w:b/>
        </w:rPr>
        <w:t>Analysis</w:t>
      </w:r>
    </w:p>
    <w:p w14:paraId="7394516E" w14:textId="6E6B17E1" w:rsidR="009C6F01" w:rsidRDefault="00CA6A2B" w:rsidP="009C6F01">
      <w:pPr>
        <w:ind w:firstLine="720"/>
        <w:jc w:val="both"/>
      </w:pPr>
      <w:r>
        <w:t>The act was meant to provide and establish laws that regulate community-related affairs for e</w:t>
      </w:r>
      <w:r>
        <w:t>xample, who will be recognized as Indian (Gender, law, colonialism Slide 18, topic 4). Establishment of an act has regulated various laws and provided insight to regulate communities. The Act was observed to be the provision of equity and equality in commu</w:t>
      </w:r>
      <w:r>
        <w:t>nities particularly gender biases (Gender, law, colonialism Slide 18, topic 4). Aboriginal communities suffer more often gender discrimination as compared to other communities.</w:t>
      </w:r>
    </w:p>
    <w:p w14:paraId="1C04EAE4" w14:textId="77777777" w:rsidR="009C6F01" w:rsidRDefault="00CA6A2B" w:rsidP="009C6F01">
      <w:pPr>
        <w:pStyle w:val="Heading2"/>
      </w:pPr>
      <w:r>
        <w:t>Access to justice</w:t>
      </w:r>
    </w:p>
    <w:p w14:paraId="03B3DF1C" w14:textId="77777777" w:rsidR="009C6F01" w:rsidRDefault="00CA6A2B" w:rsidP="009C6F01">
      <w:pPr>
        <w:jc w:val="both"/>
      </w:pPr>
      <w:r>
        <w:t xml:space="preserve">When: it is a justice system applies to different people and </w:t>
      </w:r>
      <w:r>
        <w:t>with different things.</w:t>
      </w:r>
    </w:p>
    <w:p w14:paraId="2682E414" w14:textId="3103B4DE" w:rsidR="009C6F01" w:rsidRDefault="00CA6A2B" w:rsidP="009C6F01">
      <w:pPr>
        <w:jc w:val="both"/>
      </w:pPr>
      <w:r>
        <w:t xml:space="preserve">Where: justice is for all and broadly it covers all systematic rules applicable to all people (What is access to justice, Constance Backhouse). </w:t>
      </w:r>
    </w:p>
    <w:p w14:paraId="0674A1DF" w14:textId="77777777" w:rsidR="009C6F01" w:rsidRDefault="00CA6A2B" w:rsidP="009C6F01">
      <w:pPr>
        <w:jc w:val="both"/>
      </w:pPr>
      <w:r>
        <w:lastRenderedPageBreak/>
        <w:t>What: it is access to appear before the court and to rule out all kind of barriers prese</w:t>
      </w:r>
      <w:r>
        <w:t>nt in the societies and communities (What is access to justice, Constance Backhouse).</w:t>
      </w:r>
    </w:p>
    <w:p w14:paraId="1C205A7A" w14:textId="5709C81E" w:rsidR="009C6F01" w:rsidRDefault="00CA6A2B" w:rsidP="009C6F01">
      <w:pPr>
        <w:jc w:val="both"/>
      </w:pPr>
      <w:r>
        <w:t>How: it describes principles and laws that apply to people to discourage racial and gender discrimination with all other rules (What is access to justice, Constance Backh</w:t>
      </w:r>
      <w:r>
        <w:t>ouse).</w:t>
      </w:r>
    </w:p>
    <w:p w14:paraId="203BB6B7" w14:textId="77777777" w:rsidR="009C6F01" w:rsidRDefault="00CA6A2B" w:rsidP="009C6F01">
      <w:pPr>
        <w:pStyle w:val="Heading2"/>
      </w:pPr>
      <w:r>
        <w:t>Analysis</w:t>
      </w:r>
    </w:p>
    <w:p w14:paraId="1DEED709" w14:textId="111B637C" w:rsidR="009C6F01" w:rsidRDefault="00CA6A2B" w:rsidP="009C6F01">
      <w:pPr>
        <w:ind w:firstLine="720"/>
        <w:jc w:val="both"/>
      </w:pPr>
      <w:r>
        <w:t>Access to justice in Canada represents the rules and regulations that discourage barriers that hinder the way to access justice by the people (What is access to justice, Constance Backhouse). Access to justice includes all rules for all kin</w:t>
      </w:r>
      <w:r>
        <w:t>d of people, such as immigrants, aboriginals and men and women in the societies (What is access to justice, Constance Backhouse). Justice should be reached to all communities and all kind of people</w:t>
      </w:r>
      <w:r w:rsidR="00420D14">
        <w:t xml:space="preserve"> </w:t>
      </w:r>
      <w:r w:rsidR="00420D14" w:rsidRPr="00420D14">
        <w:t>("Information Archivée Dans Le Web | Information Archived On The Web")</w:t>
      </w:r>
      <w:r>
        <w:t>. The message access to justice represents that all people have equal rights to access justice as a right</w:t>
      </w:r>
      <w:r w:rsidR="00420D14">
        <w:t xml:space="preserve"> </w:t>
      </w:r>
      <w:r w:rsidR="00420D14">
        <w:rPr>
          <w:rFonts w:eastAsia="Times New Roman"/>
          <w:lang w:val="en-CA"/>
        </w:rPr>
        <w:t>(The Charter, Equality Rights and Women: Equivocation and celebration)</w:t>
      </w:r>
      <w:r>
        <w:t xml:space="preserve">. </w:t>
      </w:r>
    </w:p>
    <w:p w14:paraId="6EBC48B6" w14:textId="77777777" w:rsidR="009C6F01" w:rsidRDefault="00CA6A2B" w:rsidP="009C6F01">
      <w:pPr>
        <w:pStyle w:val="Heading2"/>
      </w:pPr>
      <w:r>
        <w:t>Gender Binary</w:t>
      </w:r>
    </w:p>
    <w:p w14:paraId="483E6328" w14:textId="77777777" w:rsidR="009C6F01" w:rsidRDefault="00CA6A2B" w:rsidP="009C6F01">
      <w:pPr>
        <w:jc w:val="both"/>
      </w:pPr>
      <w:r>
        <w:t>When: it is a classification of gender into two for</w:t>
      </w:r>
      <w:r>
        <w:t>ms. One form is completely different from the other form. For example, masculine and feminine.</w:t>
      </w:r>
    </w:p>
    <w:p w14:paraId="1C6EC4E2" w14:textId="4F6B10D8" w:rsidR="009C6F01" w:rsidRDefault="00CA6A2B" w:rsidP="009C6F01">
      <w:pPr>
        <w:jc w:val="both"/>
      </w:pPr>
      <w:r>
        <w:t xml:space="preserve">Where: gender binary is applied to social systems and cultural system in the societies and communities (heteronormativity and law). </w:t>
      </w:r>
    </w:p>
    <w:p w14:paraId="6083D34A" w14:textId="1CED966D" w:rsidR="009C6F01" w:rsidRDefault="00CA6A2B" w:rsidP="009C6F01">
      <w:pPr>
        <w:jc w:val="both"/>
      </w:pPr>
      <w:r>
        <w:t>What: it is a form of defini</w:t>
      </w:r>
      <w:r>
        <w:t xml:space="preserve">tion to a specific gender. It describes a model in which males are different from females, for example, behaviours, traits and emotions (heteronormativity and law). </w:t>
      </w:r>
    </w:p>
    <w:p w14:paraId="3C4D98C5" w14:textId="1E5F1B0A" w:rsidR="009C6F01" w:rsidRDefault="00CA6A2B" w:rsidP="009C6F01">
      <w:pPr>
        <w:jc w:val="both"/>
      </w:pPr>
      <w:r>
        <w:t>How: it represents the system of two genders which describes that males are a group of ind</w:t>
      </w:r>
      <w:r>
        <w:t>ividuals having specific traits such as genital system and social and cultural beliefs are also varied among males and females</w:t>
      </w:r>
      <w:r w:rsidR="00420D14">
        <w:t xml:space="preserve"> (Lahey, 2010)</w:t>
      </w:r>
      <w:r>
        <w:t xml:space="preserve">. </w:t>
      </w:r>
    </w:p>
    <w:p w14:paraId="07EAA412" w14:textId="77777777" w:rsidR="009C6F01" w:rsidRDefault="00CA6A2B" w:rsidP="009C6F01">
      <w:pPr>
        <w:pStyle w:val="Heading2"/>
      </w:pPr>
      <w:r>
        <w:lastRenderedPageBreak/>
        <w:t>Analysis</w:t>
      </w:r>
    </w:p>
    <w:p w14:paraId="09E11D0E" w14:textId="305CDB20" w:rsidR="009C6F01" w:rsidRDefault="00CA6A2B" w:rsidP="00420D14">
      <w:pPr>
        <w:ind w:firstLine="720"/>
        <w:jc w:val="both"/>
      </w:pPr>
      <w:r>
        <w:t>Even though males and female are different from each other, though they have different genital system an</w:t>
      </w:r>
      <w:r>
        <w:t xml:space="preserve">d individuality (Gender, Race, and the Regulation of Native identity in Canada and the United States, an overview). Racial discrimination is based on gender biases. Males have some fundamental rights over females such as they married to women and the name </w:t>
      </w:r>
      <w:r>
        <w:t>of the women automatically changed in documents according to their partner's family name (essay reading). Transgender people rights should be assessed and appraised legally and medically (heteronormativity and law).</w:t>
      </w:r>
    </w:p>
    <w:p w14:paraId="1C2462E7" w14:textId="77777777" w:rsidR="009C6F01" w:rsidRDefault="00CA6A2B" w:rsidP="009C6F01">
      <w:pPr>
        <w:pStyle w:val="Heading2"/>
      </w:pPr>
      <w:r>
        <w:t>Hyde v Hyde</w:t>
      </w:r>
    </w:p>
    <w:p w14:paraId="3AF2EFF7" w14:textId="77777777" w:rsidR="009C6F01" w:rsidRDefault="00CA6A2B" w:rsidP="009C6F01">
      <w:pPr>
        <w:jc w:val="both"/>
      </w:pPr>
      <w:r>
        <w:t xml:space="preserve">When: it was a case held on </w:t>
      </w:r>
      <w:r>
        <w:t>20 March 1866.</w:t>
      </w:r>
    </w:p>
    <w:p w14:paraId="14ECAB7A" w14:textId="77777777" w:rsidR="009C6F01" w:rsidRDefault="00CA6A2B" w:rsidP="009C6F01">
      <w:pPr>
        <w:jc w:val="both"/>
      </w:pPr>
      <w:r>
        <w:t xml:space="preserve">Where: the case was a landmark case held at English Law court of probate and divorce. </w:t>
      </w:r>
    </w:p>
    <w:p w14:paraId="567B2B81" w14:textId="77777777" w:rsidR="009C6F01" w:rsidRDefault="00CA6A2B" w:rsidP="009C6F01">
      <w:pPr>
        <w:jc w:val="both"/>
      </w:pPr>
      <w:r>
        <w:t xml:space="preserve">How: it was held for probate and divorce and defined a common marriage definition. </w:t>
      </w:r>
    </w:p>
    <w:p w14:paraId="4E40D8F1" w14:textId="30A0CD48" w:rsidR="009C6F01" w:rsidRDefault="00CA6A2B" w:rsidP="009C6F01">
      <w:pPr>
        <w:jc w:val="both"/>
      </w:pPr>
      <w:r>
        <w:t xml:space="preserve">What: John Hyde was a married man and his wife was Lavinia. He left </w:t>
      </w:r>
      <w:r>
        <w:t xml:space="preserve">his wife because of her extramarital relationship and he also left the Church as he was ordinated to the priesthood (heteronormativity and law). His wife married in Utah territory that became the reason for the suit. </w:t>
      </w:r>
    </w:p>
    <w:p w14:paraId="28CF70AA" w14:textId="77777777" w:rsidR="009C6F01" w:rsidRDefault="00CA6A2B" w:rsidP="009C6F01">
      <w:pPr>
        <w:pStyle w:val="Heading2"/>
      </w:pPr>
      <w:r>
        <w:t>Analysis</w:t>
      </w:r>
    </w:p>
    <w:p w14:paraId="3921FECD" w14:textId="4E9228ED" w:rsidR="009C6F01" w:rsidRDefault="00CA6A2B" w:rsidP="009C6F01">
      <w:pPr>
        <w:ind w:firstLine="720"/>
        <w:jc w:val="both"/>
      </w:pPr>
      <w:r>
        <w:t>The suit represented and high</w:t>
      </w:r>
      <w:r>
        <w:t>lighted the incident of same-sex marriages. The suit and phraseology have greater influence on laws, legislation and acts. Amendments in the marriage acts were made taking information from the suit (heteronormativity and law). Laws and regulations for marr</w:t>
      </w:r>
      <w:r>
        <w:t xml:space="preserve">ied life and same-sex marriages along with the concept of polygamy was evaluated with the help of suit (heteronormativity and law). Polygamy and marriage to more than one individual has been analysed critically among communities that is no polygamy and no </w:t>
      </w:r>
      <w:r>
        <w:t xml:space="preserve">open relationships (heteronormativity and law). </w:t>
      </w:r>
    </w:p>
    <w:p w14:paraId="40F71947" w14:textId="2DC399A3" w:rsidR="00275DCA" w:rsidRPr="009C6F01" w:rsidRDefault="00CA6A2B" w:rsidP="00275DCA">
      <w:pPr>
        <w:jc w:val="both"/>
        <w:rPr>
          <w:b/>
          <w:color w:val="000000" w:themeColor="text1"/>
        </w:rPr>
      </w:pPr>
      <w:r w:rsidRPr="009C6F01">
        <w:rPr>
          <w:b/>
          <w:color w:val="000000" w:themeColor="text1"/>
        </w:rPr>
        <w:lastRenderedPageBreak/>
        <w:t>Part 2</w:t>
      </w:r>
    </w:p>
    <w:p w14:paraId="3B725F6D" w14:textId="43E9CF2B" w:rsidR="009C6F01" w:rsidRPr="001D6803" w:rsidRDefault="00CA6A2B" w:rsidP="00275DCA">
      <w:pPr>
        <w:jc w:val="both"/>
        <w:rPr>
          <w:rFonts w:eastAsia="Times New Roman"/>
          <w:b/>
        </w:rPr>
      </w:pPr>
      <w:r w:rsidRPr="001D6803">
        <w:rPr>
          <w:rFonts w:eastAsia="Times New Roman"/>
          <w:b/>
        </w:rPr>
        <w:t>The Canadian Bill of Rights (1960) included protection from discrimination based on sex. Was this a milestone for women’s rights in Canada?</w:t>
      </w:r>
    </w:p>
    <w:p w14:paraId="073A61BD" w14:textId="71F74D86" w:rsidR="009C6F01" w:rsidRDefault="00CA6A2B" w:rsidP="009C6F01">
      <w:pPr>
        <w:jc w:val="both"/>
        <w:rPr>
          <w:rFonts w:eastAsia="Times New Roman"/>
          <w:lang w:val="en-CA"/>
        </w:rPr>
      </w:pPr>
      <w:r>
        <w:rPr>
          <w:rFonts w:eastAsia="Times New Roman"/>
        </w:rPr>
        <w:tab/>
      </w:r>
      <w:r w:rsidRPr="009C6F01">
        <w:rPr>
          <w:rFonts w:eastAsia="Times New Roman"/>
          <w:lang w:val="en-CA"/>
        </w:rPr>
        <w:t>The Canadian parliament stated that the state of Canada has</w:t>
      </w:r>
      <w:r w:rsidRPr="009C6F01">
        <w:rPr>
          <w:rFonts w:eastAsia="Times New Roman"/>
          <w:lang w:val="en-CA"/>
        </w:rPr>
        <w:t xml:space="preserve"> established upon the laws that confess the authority of Divinity, self-esteem and value of the human beings</w:t>
      </w:r>
      <w:r w:rsidR="001D6803">
        <w:rPr>
          <w:rFonts w:eastAsia="Times New Roman"/>
          <w:lang w:val="en-CA"/>
        </w:rPr>
        <w:t xml:space="preserve"> (Canadian Bill of Rights)</w:t>
      </w:r>
      <w:r w:rsidRPr="009C6F01">
        <w:rPr>
          <w:rFonts w:eastAsia="Times New Roman"/>
          <w:lang w:val="en-CA"/>
        </w:rPr>
        <w:t>. The law has particularly established rules for women and protection from discrimination</w:t>
      </w:r>
      <w:r w:rsidR="00176E93">
        <w:rPr>
          <w:rFonts w:eastAsia="Times New Roman"/>
          <w:lang w:val="en-CA"/>
        </w:rPr>
        <w:t xml:space="preserve"> (The Charter, Equality Rights and Women: Equivocation and celebration) </w:t>
      </w:r>
      <w:r w:rsidR="00176E93" w:rsidRPr="00176E93">
        <w:rPr>
          <w:rFonts w:eastAsia="Times New Roman"/>
        </w:rPr>
        <w:t>(Chipeur)</w:t>
      </w:r>
      <w:r w:rsidRPr="009C6F01">
        <w:rPr>
          <w:rFonts w:eastAsia="Times New Roman"/>
          <w:lang w:val="en-CA"/>
        </w:rPr>
        <w:t>. It also stated that the men and institutions will remain free upon respect of ethical and spiritual principles and the legislature</w:t>
      </w:r>
      <w:r w:rsidR="001D6803">
        <w:rPr>
          <w:rFonts w:eastAsia="Times New Roman"/>
          <w:lang w:val="en-CA"/>
        </w:rPr>
        <w:t xml:space="preserve"> (Canadian Bill of Rights)</w:t>
      </w:r>
      <w:r w:rsidRPr="009C6F01">
        <w:rPr>
          <w:rFonts w:eastAsia="Times New Roman"/>
          <w:lang w:val="en-CA"/>
        </w:rPr>
        <w:t>. Women have fought for their rights in Canada</w:t>
      </w:r>
      <w:r w:rsidR="001D6803">
        <w:rPr>
          <w:rFonts w:eastAsia="Times New Roman"/>
          <w:lang w:val="en-CA"/>
        </w:rPr>
        <w:t xml:space="preserve"> (Canadian Bill of Rights)</w:t>
      </w:r>
      <w:r w:rsidRPr="009C6F01">
        <w:rPr>
          <w:rFonts w:eastAsia="Times New Roman"/>
          <w:lang w:val="en-CA"/>
        </w:rPr>
        <w:t>. With the establishment of laws and regulation, they have upheld their rules and gender equality among communities</w:t>
      </w:r>
      <w:r w:rsidR="00176E93">
        <w:rPr>
          <w:rFonts w:eastAsia="Times New Roman"/>
          <w:lang w:val="en-CA"/>
        </w:rPr>
        <w:t xml:space="preserve"> (The Charter, Equality Rights and Women: Equivocation and celebration)</w:t>
      </w:r>
      <w:r w:rsidRPr="009C6F01">
        <w:rPr>
          <w:rFonts w:eastAsia="Times New Roman"/>
          <w:lang w:val="en-CA"/>
        </w:rPr>
        <w:t xml:space="preserve">. </w:t>
      </w:r>
    </w:p>
    <w:p w14:paraId="69FF6355" w14:textId="1B03F5B8" w:rsidR="009C6F01" w:rsidRDefault="00CA6A2B" w:rsidP="009C6F01">
      <w:pPr>
        <w:ind w:firstLine="720"/>
        <w:jc w:val="both"/>
        <w:rPr>
          <w:rFonts w:eastAsia="Times New Roman"/>
          <w:lang w:val="en-CA"/>
        </w:rPr>
      </w:pPr>
      <w:r w:rsidRPr="009C6F01">
        <w:rPr>
          <w:rFonts w:eastAsia="Times New Roman"/>
          <w:lang w:val="en-CA"/>
        </w:rPr>
        <w:t>In a bill of rights, the parliament has decla</w:t>
      </w:r>
      <w:r w:rsidRPr="009C6F01">
        <w:rPr>
          <w:rFonts w:eastAsia="Times New Roman"/>
          <w:lang w:val="en-CA"/>
        </w:rPr>
        <w:t>red the desire of preserving these laws and the human rights and fundamental freedom is derived from there laws</w:t>
      </w:r>
      <w:r w:rsidR="001D6803">
        <w:rPr>
          <w:rFonts w:eastAsia="Times New Roman"/>
          <w:lang w:val="en-CA"/>
        </w:rPr>
        <w:t xml:space="preserve"> (Canadian Bill of Rights)</w:t>
      </w:r>
      <w:r w:rsidRPr="009C6F01">
        <w:rPr>
          <w:rFonts w:eastAsia="Times New Roman"/>
          <w:lang w:val="en-CA"/>
        </w:rPr>
        <w:t>. The bill has revealed the admiration of parliament for its constitutional power and guaranteed the security of freedo</w:t>
      </w:r>
      <w:r w:rsidRPr="009C6F01">
        <w:rPr>
          <w:rFonts w:eastAsia="Times New Roman"/>
          <w:lang w:val="en-CA"/>
        </w:rPr>
        <w:t>m of women and human rights in Canada</w:t>
      </w:r>
      <w:r w:rsidR="001D6803">
        <w:rPr>
          <w:rFonts w:eastAsia="Times New Roman"/>
          <w:lang w:val="en-CA"/>
        </w:rPr>
        <w:t xml:space="preserve"> (Canadian Bill of Rights)</w:t>
      </w:r>
      <w:r w:rsidRPr="009C6F01">
        <w:rPr>
          <w:rFonts w:eastAsia="Times New Roman"/>
          <w:lang w:val="en-CA"/>
        </w:rPr>
        <w:t>.</w:t>
      </w:r>
      <w:r>
        <w:rPr>
          <w:rFonts w:eastAsia="Times New Roman"/>
          <w:lang w:val="en-CA"/>
        </w:rPr>
        <w:t xml:space="preserve"> </w:t>
      </w:r>
      <w:r w:rsidRPr="009C6F01">
        <w:rPr>
          <w:rFonts w:eastAsia="Times New Roman"/>
          <w:lang w:val="en-CA"/>
        </w:rPr>
        <w:t>Declaration and recognition of freedom and rights of women were essentially covered by the bill. It has been declared and recognized that in Canada there will be no discrimination based on ra</w:t>
      </w:r>
      <w:r w:rsidRPr="009C6F01">
        <w:rPr>
          <w:rFonts w:eastAsia="Times New Roman"/>
          <w:lang w:val="en-CA"/>
        </w:rPr>
        <w:t>ce, colour, religion, sex, gender or national origin</w:t>
      </w:r>
      <w:r w:rsidR="001D6803">
        <w:rPr>
          <w:rFonts w:eastAsia="Times New Roman"/>
          <w:lang w:val="en-CA"/>
        </w:rPr>
        <w:t xml:space="preserve"> (Canadian Bill of Rights)</w:t>
      </w:r>
      <w:r w:rsidRPr="009C6F01">
        <w:rPr>
          <w:rFonts w:eastAsia="Times New Roman"/>
          <w:lang w:val="en-CA"/>
        </w:rPr>
        <w:t xml:space="preserve">. </w:t>
      </w:r>
      <w:r w:rsidR="00420D14">
        <w:rPr>
          <w:rFonts w:eastAsia="Times New Roman"/>
          <w:lang w:val="en-CA"/>
        </w:rPr>
        <w:t xml:space="preserve">Canadian bill of rights has been announced freedom and liberty for all. </w:t>
      </w:r>
      <w:r w:rsidR="00BD7F1B">
        <w:rPr>
          <w:rFonts w:eastAsia="Times New Roman"/>
          <w:lang w:val="en-CA"/>
        </w:rPr>
        <w:t xml:space="preserve">The sacrifices and the struggles by the women societies have been provided them an edge to establish their rights in the communities. </w:t>
      </w:r>
    </w:p>
    <w:p w14:paraId="432F91A1" w14:textId="1C951710" w:rsidR="00BF25B6" w:rsidRDefault="00CA6A2B" w:rsidP="001D6803">
      <w:pPr>
        <w:ind w:firstLine="720"/>
        <w:jc w:val="both"/>
        <w:rPr>
          <w:rFonts w:eastAsia="Times New Roman"/>
          <w:lang w:val="en-CA"/>
        </w:rPr>
      </w:pPr>
      <w:r>
        <w:rPr>
          <w:rFonts w:eastAsia="Times New Roman"/>
          <w:lang w:val="en-CA"/>
        </w:rPr>
        <w:t>People</w:t>
      </w:r>
      <w:r w:rsidRPr="009C6F01">
        <w:rPr>
          <w:rFonts w:eastAsia="Times New Roman"/>
          <w:lang w:val="en-CA"/>
        </w:rPr>
        <w:t xml:space="preserve"> have some human rights and fundamental freedoms. </w:t>
      </w:r>
      <w:r>
        <w:rPr>
          <w:rFonts w:eastAsia="Times New Roman"/>
          <w:lang w:val="en-CA"/>
        </w:rPr>
        <w:t>It</w:t>
      </w:r>
      <w:r w:rsidRPr="009C6F01">
        <w:rPr>
          <w:rFonts w:eastAsia="Times New Roman"/>
          <w:lang w:val="en-CA"/>
        </w:rPr>
        <w:t xml:space="preserve"> includes t</w:t>
      </w:r>
      <w:r w:rsidR="00934C3E" w:rsidRPr="009C6F01">
        <w:rPr>
          <w:rFonts w:eastAsia="Times New Roman"/>
          <w:lang w:val="en-CA"/>
        </w:rPr>
        <w:t>he right of a person to liberty, security and life and the right shall not be deprived thereof except due process of law</w:t>
      </w:r>
      <w:r w:rsidR="001D6803">
        <w:rPr>
          <w:rFonts w:eastAsia="Times New Roman"/>
          <w:lang w:val="en-CA"/>
        </w:rPr>
        <w:t xml:space="preserve"> </w:t>
      </w:r>
      <w:r w:rsidR="001D6803">
        <w:rPr>
          <w:rFonts w:eastAsia="Times New Roman"/>
          <w:lang w:val="en-CA"/>
        </w:rPr>
        <w:lastRenderedPageBreak/>
        <w:t>(Canadian Bill of Rights)</w:t>
      </w:r>
      <w:r w:rsidR="00934C3E" w:rsidRPr="009C6F01">
        <w:rPr>
          <w:rFonts w:eastAsia="Times New Roman"/>
          <w:lang w:val="en-CA"/>
        </w:rPr>
        <w:t>.</w:t>
      </w:r>
      <w:r w:rsidRPr="009C6F01">
        <w:rPr>
          <w:rFonts w:eastAsia="Times New Roman"/>
          <w:lang w:val="en-CA"/>
        </w:rPr>
        <w:t xml:space="preserve"> </w:t>
      </w:r>
      <w:r w:rsidR="00934C3E" w:rsidRPr="009C6F01">
        <w:rPr>
          <w:rFonts w:eastAsia="Times New Roman"/>
          <w:lang w:val="en-CA"/>
        </w:rPr>
        <w:t>The right of the person to equality before the law and protection of the law</w:t>
      </w:r>
      <w:r w:rsidR="001D6803">
        <w:rPr>
          <w:rFonts w:eastAsia="Times New Roman"/>
          <w:lang w:val="en-CA"/>
        </w:rPr>
        <w:t xml:space="preserve"> (Canadian Bill of Rights)</w:t>
      </w:r>
      <w:r w:rsidR="00934C3E" w:rsidRPr="009C6F01">
        <w:rPr>
          <w:rFonts w:eastAsia="Times New Roman"/>
          <w:lang w:val="en-CA"/>
        </w:rPr>
        <w:t>.</w:t>
      </w:r>
      <w:r w:rsidRPr="009C6F01">
        <w:rPr>
          <w:rFonts w:eastAsia="Times New Roman"/>
          <w:lang w:val="en-CA"/>
        </w:rPr>
        <w:t xml:space="preserve"> The right of a person to Religious freedom, the right of freedom of speech and the right of f</w:t>
      </w:r>
      <w:r w:rsidR="00934C3E" w:rsidRPr="009C6F01">
        <w:rPr>
          <w:rFonts w:eastAsia="Times New Roman"/>
          <w:lang w:val="en-CA"/>
        </w:rPr>
        <w:t>ree</w:t>
      </w:r>
      <w:r w:rsidRPr="009C6F01">
        <w:rPr>
          <w:rFonts w:eastAsia="Times New Roman"/>
          <w:lang w:val="en-CA"/>
        </w:rPr>
        <w:t>dom of assembly and association and lastly the f</w:t>
      </w:r>
      <w:r w:rsidR="00934C3E" w:rsidRPr="009C6F01">
        <w:rPr>
          <w:rFonts w:eastAsia="Times New Roman"/>
          <w:lang w:val="en-CA"/>
        </w:rPr>
        <w:t>reedom of the media</w:t>
      </w:r>
      <w:r w:rsidR="001D6803">
        <w:rPr>
          <w:rFonts w:eastAsia="Times New Roman"/>
          <w:lang w:val="en-CA"/>
        </w:rPr>
        <w:t xml:space="preserve"> (Canadian Bill of Rights)</w:t>
      </w:r>
      <w:r w:rsidR="00934C3E" w:rsidRPr="009C6F01">
        <w:rPr>
          <w:rFonts w:eastAsia="Times New Roman"/>
          <w:lang w:val="en-CA"/>
        </w:rPr>
        <w:t>.</w:t>
      </w:r>
      <w:r w:rsidRPr="009C6F01">
        <w:rPr>
          <w:rFonts w:eastAsia="Times New Roman"/>
          <w:lang w:val="en-CA"/>
        </w:rPr>
        <w:t xml:space="preserve"> These laws and freedom principles are applied equally to men and women in societies</w:t>
      </w:r>
      <w:r w:rsidR="00420D14">
        <w:rPr>
          <w:rFonts w:eastAsia="Times New Roman"/>
          <w:lang w:val="en-CA"/>
        </w:rPr>
        <w:t xml:space="preserve"> and communities. </w:t>
      </w:r>
    </w:p>
    <w:p w14:paraId="02A9E86F" w14:textId="75F75B40" w:rsidR="001D6803" w:rsidRPr="001D6803" w:rsidRDefault="00CA6A2B" w:rsidP="00420D14">
      <w:pPr>
        <w:ind w:firstLine="720"/>
        <w:jc w:val="both"/>
        <w:rPr>
          <w:rFonts w:eastAsia="Times New Roman"/>
          <w:lang w:val="en-CA"/>
        </w:rPr>
      </w:pPr>
      <w:r w:rsidRPr="001D6803">
        <w:rPr>
          <w:rFonts w:eastAsia="Times New Roman"/>
          <w:lang w:val="en-CA"/>
        </w:rPr>
        <w:t>Each Law of Canada shall, except it is particularly affirmed by an Act of the Parliament of Canada, operate notwithstanding</w:t>
      </w:r>
      <w:r w:rsidRPr="001D6803">
        <w:rPr>
          <w:rFonts w:eastAsia="Times New Roman"/>
          <w:lang w:val="en-CA"/>
        </w:rPr>
        <w:t xml:space="preserve"> the Canadian Bill of Rights</w:t>
      </w:r>
      <w:r>
        <w:rPr>
          <w:rFonts w:eastAsia="Times New Roman"/>
          <w:lang w:val="en-CA"/>
        </w:rPr>
        <w:t xml:space="preserve"> (Canadian Bill of Rights)</w:t>
      </w:r>
      <w:r w:rsidRPr="001D6803">
        <w:rPr>
          <w:rFonts w:eastAsia="Times New Roman"/>
          <w:lang w:val="en-CA"/>
        </w:rPr>
        <w:t>. The bill has mentioned specifically the women's rights in section 18 and section 28</w:t>
      </w:r>
      <w:r>
        <w:rPr>
          <w:rFonts w:eastAsia="Times New Roman"/>
          <w:lang w:val="en-CA"/>
        </w:rPr>
        <w:t xml:space="preserve"> (Canadian Bill of Rights)</w:t>
      </w:r>
      <w:r w:rsidRPr="001D6803">
        <w:rPr>
          <w:rFonts w:eastAsia="Times New Roman"/>
          <w:lang w:val="en-CA"/>
        </w:rPr>
        <w:t>. Section 18 states that women have equal rights in terms of gender equality and without di</w:t>
      </w:r>
      <w:r w:rsidRPr="001D6803">
        <w:rPr>
          <w:rFonts w:eastAsia="Times New Roman"/>
          <w:lang w:val="en-CA"/>
        </w:rPr>
        <w:t>scrimination</w:t>
      </w:r>
      <w:r w:rsidR="00176E93">
        <w:rPr>
          <w:rFonts w:eastAsia="Times New Roman"/>
          <w:lang w:val="en-CA"/>
        </w:rPr>
        <w:t xml:space="preserve"> (The Charter, Equality Rights and Women: Equivocation and celebration)</w:t>
      </w:r>
      <w:r w:rsidRPr="001D6803">
        <w:rPr>
          <w:rFonts w:eastAsia="Times New Roman"/>
          <w:lang w:val="en-CA"/>
        </w:rPr>
        <w:t>. They have equal rights based on race, age, mental or physical disability</w:t>
      </w:r>
      <w:r>
        <w:rPr>
          <w:rFonts w:eastAsia="Times New Roman"/>
          <w:lang w:val="en-CA"/>
        </w:rPr>
        <w:t xml:space="preserve"> (Canadian Bill of Rights)</w:t>
      </w:r>
      <w:r w:rsidRPr="001D6803">
        <w:rPr>
          <w:rFonts w:eastAsia="Times New Roman"/>
          <w:lang w:val="en-CA"/>
        </w:rPr>
        <w:t>. The law is construed and applied as not to abrogate, abridge or infring</w:t>
      </w:r>
      <w:r w:rsidRPr="001D6803">
        <w:rPr>
          <w:rFonts w:eastAsia="Times New Roman"/>
          <w:lang w:val="en-CA"/>
        </w:rPr>
        <w:t>e but to approve the retraction, condensation or contravention of any of the rights or freedoms herein documented and declared</w:t>
      </w:r>
      <w:r w:rsidR="00176E93">
        <w:rPr>
          <w:rFonts w:eastAsia="Times New Roman"/>
          <w:lang w:val="en-CA"/>
        </w:rPr>
        <w:t xml:space="preserve"> (The Charter, Equality Rights and Women: Equivocation and celebration)</w:t>
      </w:r>
      <w:r w:rsidRPr="001D6803">
        <w:rPr>
          <w:rFonts w:eastAsia="Times New Roman"/>
          <w:lang w:val="en-CA"/>
        </w:rPr>
        <w:t xml:space="preserve">. </w:t>
      </w:r>
    </w:p>
    <w:p w14:paraId="59A5BBB1" w14:textId="52B2EF7A" w:rsidR="00420D14" w:rsidRDefault="00CA6A2B" w:rsidP="00D91B47">
      <w:pPr>
        <w:ind w:firstLine="720"/>
        <w:jc w:val="both"/>
        <w:rPr>
          <w:rFonts w:eastAsia="Times New Roman"/>
          <w:lang w:val="en-CA"/>
        </w:rPr>
      </w:pPr>
      <w:bookmarkStart w:id="0" w:name="_GoBack"/>
      <w:bookmarkEnd w:id="0"/>
      <w:r>
        <w:rPr>
          <w:rFonts w:eastAsia="Times New Roman"/>
          <w:lang w:val="en-CA"/>
        </w:rPr>
        <w:t xml:space="preserve"> Section 28 of the bill declares and guarantee that all rights presented in the act are applied equally to men and women (Canadian Bill of Rights). The law has significantly highlighted the importance of equality among communities (Canadian Bill of Rights)</w:t>
      </w:r>
      <w:r>
        <w:rPr>
          <w:rFonts w:eastAsia="Times New Roman"/>
          <w:lang w:val="en-CA"/>
        </w:rPr>
        <w:t xml:space="preserve">. These equal rights have established a link that women have equal rights in all aspects of life sexual orientation, marital status and social status (Canadian Bill of Rights). The bill has significantly provided an edge to the women in the communities of </w:t>
      </w:r>
      <w:r>
        <w:rPr>
          <w:rFonts w:eastAsia="Times New Roman"/>
          <w:lang w:val="en-CA"/>
        </w:rPr>
        <w:t>Canada</w:t>
      </w:r>
      <w:r w:rsidR="00176E93">
        <w:rPr>
          <w:rFonts w:eastAsia="Times New Roman"/>
          <w:lang w:val="en-CA"/>
        </w:rPr>
        <w:t xml:space="preserve"> (The Charter, Equality Rights and Women: Equivocation and celebration)</w:t>
      </w:r>
      <w:r>
        <w:rPr>
          <w:rFonts w:eastAsia="Times New Roman"/>
          <w:lang w:val="en-CA"/>
        </w:rPr>
        <w:t xml:space="preserve">. Sections of the bill have been established for all the people living in the communities including men, women and transgender population (The Charter, Equality Rights and </w:t>
      </w:r>
      <w:r>
        <w:rPr>
          <w:rFonts w:eastAsia="Times New Roman"/>
          <w:lang w:val="en-CA"/>
        </w:rPr>
        <w:lastRenderedPageBreak/>
        <w:t xml:space="preserve">Women: </w:t>
      </w:r>
      <w:r>
        <w:rPr>
          <w:rFonts w:eastAsia="Times New Roman"/>
          <w:lang w:val="en-CA"/>
        </w:rPr>
        <w:t xml:space="preserve">Equivocation and celebration). </w:t>
      </w:r>
      <w:r w:rsidR="00BD7F1B">
        <w:rPr>
          <w:rFonts w:eastAsia="Times New Roman"/>
          <w:lang w:val="en-CA"/>
        </w:rPr>
        <w:t xml:space="preserve">Racial and gender discrimination have been discouraged significantly in the Canadian bill of rights. </w:t>
      </w:r>
    </w:p>
    <w:p w14:paraId="633B3FE6" w14:textId="461E66E4" w:rsidR="001D6803" w:rsidRPr="001D6803" w:rsidRDefault="00CA6A2B" w:rsidP="00420D14">
      <w:pPr>
        <w:ind w:firstLine="720"/>
        <w:jc w:val="both"/>
        <w:rPr>
          <w:rFonts w:eastAsia="Times New Roman"/>
          <w:lang w:val="en-CA"/>
        </w:rPr>
      </w:pPr>
      <w:r>
        <w:rPr>
          <w:rFonts w:eastAsia="Times New Roman"/>
          <w:lang w:val="en-CA"/>
        </w:rPr>
        <w:t>The laws and regulations have been designed by the regulation of justice among communities (The Charter, Equality Rights an</w:t>
      </w:r>
      <w:r>
        <w:rPr>
          <w:rFonts w:eastAsia="Times New Roman"/>
          <w:lang w:val="en-CA"/>
        </w:rPr>
        <w:t>d Women: Equivocation and celebration). The sections and laws of the Canadian Bill of Rights have provided the provisions of the states which include discouraging discrimination and injustice from communities (The Charter, Equality Rights and Women: Equivo</w:t>
      </w:r>
      <w:r>
        <w:rPr>
          <w:rFonts w:eastAsia="Times New Roman"/>
          <w:lang w:val="en-CA"/>
        </w:rPr>
        <w:t>cation and celebration). Therefore, the law has highlighted the prominence of equality among communities (Canadian Bill of Rights). These equal rights have established a link that women have equal rights in all aspects of life sexual orientation, marital s</w:t>
      </w:r>
      <w:r>
        <w:rPr>
          <w:rFonts w:eastAsia="Times New Roman"/>
          <w:lang w:val="en-CA"/>
        </w:rPr>
        <w:t xml:space="preserve">tatus and social status and it was a milestone for the rights of the females in Canada. </w:t>
      </w:r>
      <w:r>
        <w:rPr>
          <w:rFonts w:eastAsia="Times New Roman"/>
          <w:lang w:val="en-CA"/>
        </w:rPr>
        <w:br w:type="page"/>
      </w:r>
    </w:p>
    <w:p w14:paraId="4A478567" w14:textId="77777777" w:rsidR="00A224FE" w:rsidRPr="00A224FE" w:rsidRDefault="00A224FE" w:rsidP="00AE06A5">
      <w:pPr>
        <w:spacing w:line="240" w:lineRule="auto"/>
        <w:rPr>
          <w:color w:val="000000" w:themeColor="text1"/>
        </w:rPr>
      </w:pPr>
    </w:p>
    <w:sdt>
      <w:sdtPr>
        <w:rPr>
          <w:b/>
          <w:bCs/>
          <w:color w:val="000000" w:themeColor="text1"/>
        </w:rPr>
        <w:id w:val="-1826895820"/>
        <w:docPartObj>
          <w:docPartGallery w:val="Bibliographies"/>
          <w:docPartUnique/>
        </w:docPartObj>
      </w:sdtPr>
      <w:sdtEndPr>
        <w:rPr>
          <w:b w:val="0"/>
          <w:bCs w:val="0"/>
        </w:rPr>
      </w:sdtEndPr>
      <w:sdtContent>
        <w:p w14:paraId="283E8F36" w14:textId="4009C4D0" w:rsidR="009D1AE9" w:rsidRPr="00A224FE" w:rsidRDefault="00CA6A2B" w:rsidP="00AE06A5">
          <w:pPr>
            <w:jc w:val="center"/>
            <w:rPr>
              <w:b/>
              <w:bCs/>
              <w:color w:val="000000" w:themeColor="text1"/>
            </w:rPr>
          </w:pPr>
          <w:r w:rsidRPr="00A224FE">
            <w:rPr>
              <w:b/>
              <w:color w:val="000000" w:themeColor="text1"/>
            </w:rPr>
            <w:t>References</w:t>
          </w:r>
        </w:p>
        <w:sdt>
          <w:sdtPr>
            <w:rPr>
              <w:color w:val="000000" w:themeColor="text1"/>
              <w:kern w:val="0"/>
            </w:rPr>
            <w:id w:val="-573587230"/>
            <w:bibliography/>
          </w:sdtPr>
          <w:sdtEndPr/>
          <w:sdtContent>
            <w:p w14:paraId="79DA7F12" w14:textId="162D5E75" w:rsidR="00176E93" w:rsidRDefault="00CA6A2B" w:rsidP="00176E93">
              <w:pPr>
                <w:pStyle w:val="Bibliography"/>
              </w:pPr>
              <w:r w:rsidRPr="00176E93">
                <w:rPr>
                  <w:color w:val="000000" w:themeColor="text1"/>
                  <w:kern w:val="0"/>
                </w:rPr>
                <w:t>Chipeur, Gerald. "The Royal Prerogative And Equality Rights: Can Medieval Classism Coexist With Section 15 Of The Charter". </w:t>
              </w:r>
              <w:r w:rsidRPr="00176E93">
                <w:rPr>
                  <w:i/>
                  <w:iCs/>
                  <w:color w:val="000000" w:themeColor="text1"/>
                  <w:kern w:val="0"/>
                </w:rPr>
                <w:t>Alberta Law Review</w:t>
              </w:r>
              <w:r w:rsidRPr="00176E93">
                <w:rPr>
                  <w:color w:val="000000" w:themeColor="text1"/>
                  <w:kern w:val="0"/>
                </w:rPr>
                <w:t>, 1969, p. 6</w:t>
              </w:r>
              <w:r w:rsidRPr="00176E93">
                <w:rPr>
                  <w:color w:val="000000" w:themeColor="text1"/>
                  <w:kern w:val="0"/>
                </w:rPr>
                <w:t>25. </w:t>
              </w:r>
              <w:r w:rsidRPr="00176E93">
                <w:rPr>
                  <w:i/>
                  <w:iCs/>
                  <w:color w:val="000000" w:themeColor="text1"/>
                  <w:kern w:val="0"/>
                </w:rPr>
                <w:t>University Of Alberta Libraries</w:t>
              </w:r>
              <w:r w:rsidRPr="00176E93">
                <w:rPr>
                  <w:color w:val="000000" w:themeColor="text1"/>
                  <w:kern w:val="0"/>
                </w:rPr>
                <w:t>, doi:10.29173/alr1525.</w:t>
              </w:r>
            </w:p>
            <w:p w14:paraId="6ADF15C6" w14:textId="77777777" w:rsidR="00420D14" w:rsidRDefault="00CA6A2B" w:rsidP="00420D14">
              <w:pPr>
                <w:pStyle w:val="Bibliography"/>
                <w:rPr>
                  <w:color w:val="000000" w:themeColor="text1"/>
                </w:rPr>
              </w:pPr>
              <w:r w:rsidRPr="00176E93">
                <w:rPr>
                  <w:color w:val="000000" w:themeColor="text1"/>
                </w:rPr>
                <w:t>Lahey, Kathleen A. "Same-Sex Marriage, Transnational Activism, And International Law: Strategic Objectives Beyond Freedom To Marry". </w:t>
              </w:r>
              <w:r w:rsidRPr="00176E93">
                <w:rPr>
                  <w:i/>
                  <w:iCs/>
                  <w:color w:val="000000" w:themeColor="text1"/>
                </w:rPr>
                <w:t>Proceedings Of The ASIL Annual Meeting</w:t>
              </w:r>
              <w:r w:rsidRPr="00176E93">
                <w:rPr>
                  <w:color w:val="000000" w:themeColor="text1"/>
                </w:rPr>
                <w:t>, vol 104, 2010, pp. 380-3</w:t>
              </w:r>
              <w:r w:rsidRPr="00176E93">
                <w:rPr>
                  <w:color w:val="000000" w:themeColor="text1"/>
                </w:rPr>
                <w:t>83. </w:t>
              </w:r>
              <w:r w:rsidRPr="00176E93">
                <w:rPr>
                  <w:i/>
                  <w:iCs/>
                  <w:color w:val="000000" w:themeColor="text1"/>
                </w:rPr>
                <w:t>Cambridge University Press (CUP)</w:t>
              </w:r>
              <w:r w:rsidRPr="00176E93">
                <w:rPr>
                  <w:color w:val="000000" w:themeColor="text1"/>
                </w:rPr>
                <w:t>, doi:10.5305/procannmeetasil.104.0380.</w:t>
              </w:r>
            </w:p>
            <w:p w14:paraId="44FA6DD3" w14:textId="6B140D66" w:rsidR="009D1AE9" w:rsidRPr="00A224FE" w:rsidRDefault="00CA6A2B" w:rsidP="00420D14">
              <w:pPr>
                <w:pStyle w:val="Bibliography"/>
                <w:rPr>
                  <w:rFonts w:ascii="Arial" w:hAnsi="Arial" w:cs="Arial"/>
                  <w:color w:val="000000" w:themeColor="text1"/>
                  <w:shd w:val="clear" w:color="auto" w:fill="FFFFFF"/>
                </w:rPr>
              </w:pPr>
              <w:r w:rsidRPr="00420D14">
                <w:rPr>
                  <w:color w:val="000000" w:themeColor="text1"/>
                </w:rPr>
                <w:t>"Information Archivée Dans Le Web | Information Archived On The Web". </w:t>
              </w:r>
              <w:r w:rsidRPr="00420D14">
                <w:rPr>
                  <w:i/>
                  <w:iCs/>
                  <w:color w:val="000000" w:themeColor="text1"/>
                </w:rPr>
                <w:t>Publications.Gc.Ca</w:t>
              </w:r>
              <w:r w:rsidRPr="00420D14">
                <w:rPr>
                  <w:color w:val="000000" w:themeColor="text1"/>
                </w:rPr>
                <w:t>, 2019, http://publications.gc.ca/collections/Collection/CH37-4-3-2002E.pdf.</w:t>
              </w:r>
              <w:r w:rsidRPr="00A224FE">
                <w:rPr>
                  <w:color w:val="000000" w:themeColor="text1"/>
                </w:rPr>
                <w:fldChar w:fldCharType="begin"/>
              </w:r>
              <w:r w:rsidR="00D7418C" w:rsidRPr="00A224FE">
                <w:rPr>
                  <w:color w:val="000000" w:themeColor="text1"/>
                </w:rPr>
                <w:instrText xml:space="preserve"> BIBLIOGRAPHY </w:instrText>
              </w:r>
              <w:r w:rsidRPr="00A224FE">
                <w:rPr>
                  <w:color w:val="000000" w:themeColor="text1"/>
                </w:rPr>
                <w:fldChar w:fldCharType="separate"/>
              </w:r>
            </w:p>
            <w:p w14:paraId="74666CB5" w14:textId="44DBA951" w:rsidR="00BB5D44" w:rsidRPr="00A224FE" w:rsidRDefault="00CA6A2B" w:rsidP="00420D14">
              <w:pPr>
                <w:ind w:left="720" w:hanging="720"/>
                <w:rPr>
                  <w:color w:val="000000" w:themeColor="text1"/>
                </w:rPr>
              </w:pPr>
              <w:r w:rsidRPr="00A224FE">
                <w:rPr>
                  <w:b/>
                  <w:bCs/>
                  <w:noProof/>
                  <w:color w:val="000000" w:themeColor="text1"/>
                </w:rPr>
                <w:fldChar w:fldCharType="end"/>
              </w:r>
            </w:p>
          </w:sdtContent>
        </w:sdt>
      </w:sdtContent>
    </w:sdt>
    <w:p w14:paraId="4F569008" w14:textId="7C6D3F44" w:rsidR="00C63999" w:rsidRPr="00A224FE" w:rsidRDefault="00C63999" w:rsidP="006F20A4">
      <w:pPr>
        <w:rPr>
          <w:color w:val="000000" w:themeColor="text1"/>
        </w:rPr>
      </w:pPr>
    </w:p>
    <w:sectPr w:rsidR="00C63999" w:rsidRPr="00A224F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B6198" w14:textId="77777777" w:rsidR="00CA6A2B" w:rsidRDefault="00CA6A2B">
      <w:pPr>
        <w:spacing w:line="240" w:lineRule="auto"/>
      </w:pPr>
      <w:r>
        <w:separator/>
      </w:r>
    </w:p>
  </w:endnote>
  <w:endnote w:type="continuationSeparator" w:id="0">
    <w:p w14:paraId="2D1773B4" w14:textId="77777777" w:rsidR="00CA6A2B" w:rsidRDefault="00CA6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3B63D" w14:textId="77777777" w:rsidR="00CA6A2B" w:rsidRDefault="00CA6A2B">
      <w:pPr>
        <w:spacing w:line="240" w:lineRule="auto"/>
      </w:pPr>
      <w:r>
        <w:separator/>
      </w:r>
    </w:p>
  </w:footnote>
  <w:footnote w:type="continuationSeparator" w:id="0">
    <w:p w14:paraId="7BFFC18C" w14:textId="77777777" w:rsidR="00CA6A2B" w:rsidRDefault="00CA6A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0C0AD550" w:rsidR="00E81978" w:rsidRDefault="00CA6A2B" w:rsidP="004B099C">
    <w:pPr>
      <w:pStyle w:val="Header"/>
    </w:pPr>
    <w:r>
      <w:t xml:space="preserve">ASSIGNMENT </w:t>
    </w:r>
    <w:r w:rsidR="000108C3">
      <w:t xml:space="preserve">         </w:t>
    </w:r>
    <w:r w:rsidR="00D7418C">
      <w:t xml:space="preserve"> </w:t>
    </w:r>
    <w:r w:rsidR="00F33792">
      <w:t xml:space="preserve">         </w:t>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91B47">
      <w:rPr>
        <w:rStyle w:val="Strong"/>
        <w:noProof/>
      </w:rPr>
      <w:t>9</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16D15931" w:rsidR="00E81978" w:rsidRDefault="00CA6A2B" w:rsidP="004B099C">
    <w:pPr>
      <w:pStyle w:val="Header"/>
      <w:rPr>
        <w:rStyle w:val="Strong"/>
      </w:rPr>
    </w:pPr>
    <w:r>
      <w:t>Running head:</w:t>
    </w:r>
    <w:r w:rsidR="00CA1991">
      <w:rPr>
        <w:rStyle w:val="Strong"/>
      </w:rPr>
      <w:t xml:space="preserve"> ASSIGNMENT   </w:t>
    </w:r>
    <w:r w:rsidR="00A001E4">
      <w:rPr>
        <w:rStyle w:val="Strong"/>
      </w:rPr>
      <w:t xml:space="preserve">   </w:t>
    </w:r>
    <w:r w:rsidR="005D20A5">
      <w:rPr>
        <w:rStyle w:val="Strong"/>
      </w:rPr>
      <w:t xml:space="preserve"> </w:t>
    </w:r>
    <w:r w:rsidR="006F20A4">
      <w:rPr>
        <w:rStyle w:val="Strong"/>
      </w:rPr>
      <w:t xml:space="preserve">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91B4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150219E"/>
    <w:multiLevelType w:val="hybridMultilevel"/>
    <w:tmpl w:val="2ED06B48"/>
    <w:lvl w:ilvl="0" w:tplc="C4E2A186">
      <w:start w:val="1"/>
      <w:numFmt w:val="decimal"/>
      <w:lvlText w:val="%1.)"/>
      <w:lvlJc w:val="left"/>
      <w:pPr>
        <w:ind w:left="720" w:hanging="360"/>
      </w:pPr>
      <w:rPr>
        <w:rFonts w:hint="default"/>
      </w:rPr>
    </w:lvl>
    <w:lvl w:ilvl="1" w:tplc="0B646DD6" w:tentative="1">
      <w:start w:val="1"/>
      <w:numFmt w:val="lowerLetter"/>
      <w:lvlText w:val="%2."/>
      <w:lvlJc w:val="left"/>
      <w:pPr>
        <w:ind w:left="1440" w:hanging="360"/>
      </w:pPr>
    </w:lvl>
    <w:lvl w:ilvl="2" w:tplc="366A068E" w:tentative="1">
      <w:start w:val="1"/>
      <w:numFmt w:val="lowerRoman"/>
      <w:lvlText w:val="%3."/>
      <w:lvlJc w:val="right"/>
      <w:pPr>
        <w:ind w:left="2160" w:hanging="180"/>
      </w:pPr>
    </w:lvl>
    <w:lvl w:ilvl="3" w:tplc="C78265F4" w:tentative="1">
      <w:start w:val="1"/>
      <w:numFmt w:val="decimal"/>
      <w:lvlText w:val="%4."/>
      <w:lvlJc w:val="left"/>
      <w:pPr>
        <w:ind w:left="2880" w:hanging="360"/>
      </w:pPr>
    </w:lvl>
    <w:lvl w:ilvl="4" w:tplc="CB8A1ED2" w:tentative="1">
      <w:start w:val="1"/>
      <w:numFmt w:val="lowerLetter"/>
      <w:lvlText w:val="%5."/>
      <w:lvlJc w:val="left"/>
      <w:pPr>
        <w:ind w:left="3600" w:hanging="360"/>
      </w:pPr>
    </w:lvl>
    <w:lvl w:ilvl="5" w:tplc="ABF08116" w:tentative="1">
      <w:start w:val="1"/>
      <w:numFmt w:val="lowerRoman"/>
      <w:lvlText w:val="%6."/>
      <w:lvlJc w:val="right"/>
      <w:pPr>
        <w:ind w:left="4320" w:hanging="180"/>
      </w:pPr>
    </w:lvl>
    <w:lvl w:ilvl="6" w:tplc="876254D4" w:tentative="1">
      <w:start w:val="1"/>
      <w:numFmt w:val="decimal"/>
      <w:lvlText w:val="%7."/>
      <w:lvlJc w:val="left"/>
      <w:pPr>
        <w:ind w:left="5040" w:hanging="360"/>
      </w:pPr>
    </w:lvl>
    <w:lvl w:ilvl="7" w:tplc="9E00F72A" w:tentative="1">
      <w:start w:val="1"/>
      <w:numFmt w:val="lowerLetter"/>
      <w:lvlText w:val="%8."/>
      <w:lvlJc w:val="left"/>
      <w:pPr>
        <w:ind w:left="5760" w:hanging="360"/>
      </w:pPr>
    </w:lvl>
    <w:lvl w:ilvl="8" w:tplc="ABF69458" w:tentative="1">
      <w:start w:val="1"/>
      <w:numFmt w:val="lowerRoman"/>
      <w:lvlText w:val="%9."/>
      <w:lvlJc w:val="right"/>
      <w:pPr>
        <w:ind w:left="6480" w:hanging="18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xNzI0NzExtbQ0NDVQ0lEKTi0uzszPAykwrAUANp/fNSwAAAA="/>
  </w:docVars>
  <w:rsids>
    <w:rsidRoot w:val="00314011"/>
    <w:rsid w:val="00005C56"/>
    <w:rsid w:val="00010711"/>
    <w:rsid w:val="000108C3"/>
    <w:rsid w:val="00021550"/>
    <w:rsid w:val="00025E3D"/>
    <w:rsid w:val="00032E23"/>
    <w:rsid w:val="000405C1"/>
    <w:rsid w:val="00046ABA"/>
    <w:rsid w:val="00047DBE"/>
    <w:rsid w:val="000629B4"/>
    <w:rsid w:val="000639F2"/>
    <w:rsid w:val="00076E9D"/>
    <w:rsid w:val="000A142A"/>
    <w:rsid w:val="000A33C3"/>
    <w:rsid w:val="000C3D59"/>
    <w:rsid w:val="000C526B"/>
    <w:rsid w:val="000D2BB9"/>
    <w:rsid w:val="000D3C58"/>
    <w:rsid w:val="000D3F41"/>
    <w:rsid w:val="000E5669"/>
    <w:rsid w:val="000E6D4E"/>
    <w:rsid w:val="000F1467"/>
    <w:rsid w:val="000F57CD"/>
    <w:rsid w:val="001038E1"/>
    <w:rsid w:val="00105D48"/>
    <w:rsid w:val="001107BB"/>
    <w:rsid w:val="00110EDF"/>
    <w:rsid w:val="0011614D"/>
    <w:rsid w:val="00116B6C"/>
    <w:rsid w:val="001521DE"/>
    <w:rsid w:val="001623D4"/>
    <w:rsid w:val="00176E93"/>
    <w:rsid w:val="00183F9B"/>
    <w:rsid w:val="0019183F"/>
    <w:rsid w:val="00192A2C"/>
    <w:rsid w:val="001B69C1"/>
    <w:rsid w:val="001C2433"/>
    <w:rsid w:val="001C4882"/>
    <w:rsid w:val="001C4AE3"/>
    <w:rsid w:val="001D092F"/>
    <w:rsid w:val="001D6803"/>
    <w:rsid w:val="001E1E2C"/>
    <w:rsid w:val="001F149C"/>
    <w:rsid w:val="001F7627"/>
    <w:rsid w:val="00206065"/>
    <w:rsid w:val="002115FA"/>
    <w:rsid w:val="00214224"/>
    <w:rsid w:val="00223E75"/>
    <w:rsid w:val="00242153"/>
    <w:rsid w:val="002446DB"/>
    <w:rsid w:val="0025057F"/>
    <w:rsid w:val="00251FB7"/>
    <w:rsid w:val="00256052"/>
    <w:rsid w:val="002634F7"/>
    <w:rsid w:val="0027447E"/>
    <w:rsid w:val="00274C9B"/>
    <w:rsid w:val="00274D42"/>
    <w:rsid w:val="00274D97"/>
    <w:rsid w:val="00274F1C"/>
    <w:rsid w:val="00275DCA"/>
    <w:rsid w:val="00282336"/>
    <w:rsid w:val="002900EF"/>
    <w:rsid w:val="0029339C"/>
    <w:rsid w:val="00295BF4"/>
    <w:rsid w:val="00297740"/>
    <w:rsid w:val="002B681C"/>
    <w:rsid w:val="00311D04"/>
    <w:rsid w:val="003123AB"/>
    <w:rsid w:val="00314011"/>
    <w:rsid w:val="003152BC"/>
    <w:rsid w:val="003240A3"/>
    <w:rsid w:val="00336189"/>
    <w:rsid w:val="00337662"/>
    <w:rsid w:val="003402B9"/>
    <w:rsid w:val="0035079F"/>
    <w:rsid w:val="00354116"/>
    <w:rsid w:val="00355DCA"/>
    <w:rsid w:val="00360BE8"/>
    <w:rsid w:val="00365249"/>
    <w:rsid w:val="00390A18"/>
    <w:rsid w:val="00396FFF"/>
    <w:rsid w:val="003B6079"/>
    <w:rsid w:val="003D64D0"/>
    <w:rsid w:val="003E54BA"/>
    <w:rsid w:val="003E65E0"/>
    <w:rsid w:val="004006CA"/>
    <w:rsid w:val="00411AEA"/>
    <w:rsid w:val="004168ED"/>
    <w:rsid w:val="00420D14"/>
    <w:rsid w:val="00440D3E"/>
    <w:rsid w:val="004629EC"/>
    <w:rsid w:val="00463626"/>
    <w:rsid w:val="004672B9"/>
    <w:rsid w:val="00491624"/>
    <w:rsid w:val="004A7A85"/>
    <w:rsid w:val="004B099C"/>
    <w:rsid w:val="004B1DD7"/>
    <w:rsid w:val="004B5AB0"/>
    <w:rsid w:val="004F0981"/>
    <w:rsid w:val="004F3FE9"/>
    <w:rsid w:val="004F42A7"/>
    <w:rsid w:val="005010F0"/>
    <w:rsid w:val="00505D81"/>
    <w:rsid w:val="00521D5D"/>
    <w:rsid w:val="005372B8"/>
    <w:rsid w:val="00550869"/>
    <w:rsid w:val="00551A02"/>
    <w:rsid w:val="0055231E"/>
    <w:rsid w:val="005534FA"/>
    <w:rsid w:val="00564BA1"/>
    <w:rsid w:val="00570404"/>
    <w:rsid w:val="005872A5"/>
    <w:rsid w:val="005948C3"/>
    <w:rsid w:val="005A2D5B"/>
    <w:rsid w:val="005B2DFB"/>
    <w:rsid w:val="005C392D"/>
    <w:rsid w:val="005D032B"/>
    <w:rsid w:val="005D06C0"/>
    <w:rsid w:val="005D20A5"/>
    <w:rsid w:val="005D3A03"/>
    <w:rsid w:val="005E2CEC"/>
    <w:rsid w:val="005E6D29"/>
    <w:rsid w:val="005F153F"/>
    <w:rsid w:val="005F2467"/>
    <w:rsid w:val="00612B3E"/>
    <w:rsid w:val="00620E39"/>
    <w:rsid w:val="00656B64"/>
    <w:rsid w:val="00667FD9"/>
    <w:rsid w:val="00674474"/>
    <w:rsid w:val="0067769B"/>
    <w:rsid w:val="006942C0"/>
    <w:rsid w:val="00697038"/>
    <w:rsid w:val="006A02B5"/>
    <w:rsid w:val="006A3CC6"/>
    <w:rsid w:val="006C0A77"/>
    <w:rsid w:val="006C2123"/>
    <w:rsid w:val="006D4104"/>
    <w:rsid w:val="006F20A4"/>
    <w:rsid w:val="006F38DA"/>
    <w:rsid w:val="00706AAE"/>
    <w:rsid w:val="00722C03"/>
    <w:rsid w:val="0072328C"/>
    <w:rsid w:val="00723C4E"/>
    <w:rsid w:val="00733313"/>
    <w:rsid w:val="007403BB"/>
    <w:rsid w:val="00755C28"/>
    <w:rsid w:val="00767246"/>
    <w:rsid w:val="00770232"/>
    <w:rsid w:val="007859BA"/>
    <w:rsid w:val="00787C0A"/>
    <w:rsid w:val="00790943"/>
    <w:rsid w:val="0079215B"/>
    <w:rsid w:val="007A0131"/>
    <w:rsid w:val="007B1BE0"/>
    <w:rsid w:val="007C0F06"/>
    <w:rsid w:val="007D2872"/>
    <w:rsid w:val="007D3798"/>
    <w:rsid w:val="007E3AB0"/>
    <w:rsid w:val="007E5B51"/>
    <w:rsid w:val="007F2866"/>
    <w:rsid w:val="007F3F65"/>
    <w:rsid w:val="008002C0"/>
    <w:rsid w:val="00807261"/>
    <w:rsid w:val="00827E78"/>
    <w:rsid w:val="00842C83"/>
    <w:rsid w:val="00844900"/>
    <w:rsid w:val="008579D8"/>
    <w:rsid w:val="00896264"/>
    <w:rsid w:val="00897A90"/>
    <w:rsid w:val="008A55F2"/>
    <w:rsid w:val="008C1E19"/>
    <w:rsid w:val="008C5323"/>
    <w:rsid w:val="008D55DB"/>
    <w:rsid w:val="008D7559"/>
    <w:rsid w:val="008F1F00"/>
    <w:rsid w:val="00904A66"/>
    <w:rsid w:val="00915F57"/>
    <w:rsid w:val="00920222"/>
    <w:rsid w:val="009268D8"/>
    <w:rsid w:val="0093326A"/>
    <w:rsid w:val="0093331A"/>
    <w:rsid w:val="00934C3E"/>
    <w:rsid w:val="00936F33"/>
    <w:rsid w:val="00956426"/>
    <w:rsid w:val="00975A25"/>
    <w:rsid w:val="00977963"/>
    <w:rsid w:val="0098006A"/>
    <w:rsid w:val="009803A6"/>
    <w:rsid w:val="009A3BE4"/>
    <w:rsid w:val="009A49F7"/>
    <w:rsid w:val="009A5B1C"/>
    <w:rsid w:val="009A6A3B"/>
    <w:rsid w:val="009B1CD8"/>
    <w:rsid w:val="009C2631"/>
    <w:rsid w:val="009C45A3"/>
    <w:rsid w:val="009C6F01"/>
    <w:rsid w:val="009D1AE9"/>
    <w:rsid w:val="009E3EEA"/>
    <w:rsid w:val="009E487B"/>
    <w:rsid w:val="009E5752"/>
    <w:rsid w:val="009E5ED0"/>
    <w:rsid w:val="009E60AB"/>
    <w:rsid w:val="00A001E4"/>
    <w:rsid w:val="00A009F4"/>
    <w:rsid w:val="00A04AF1"/>
    <w:rsid w:val="00A16D63"/>
    <w:rsid w:val="00A21756"/>
    <w:rsid w:val="00A224FE"/>
    <w:rsid w:val="00A252A7"/>
    <w:rsid w:val="00A266FD"/>
    <w:rsid w:val="00A274AE"/>
    <w:rsid w:val="00A31607"/>
    <w:rsid w:val="00A32FB9"/>
    <w:rsid w:val="00A3494E"/>
    <w:rsid w:val="00A4220A"/>
    <w:rsid w:val="00A62AE5"/>
    <w:rsid w:val="00A63A5A"/>
    <w:rsid w:val="00A74AEE"/>
    <w:rsid w:val="00A82E34"/>
    <w:rsid w:val="00A87238"/>
    <w:rsid w:val="00A91061"/>
    <w:rsid w:val="00A93C98"/>
    <w:rsid w:val="00AA63A3"/>
    <w:rsid w:val="00AB1E6E"/>
    <w:rsid w:val="00AD33F6"/>
    <w:rsid w:val="00AD7636"/>
    <w:rsid w:val="00AE06A5"/>
    <w:rsid w:val="00AE1DE1"/>
    <w:rsid w:val="00AE5FA9"/>
    <w:rsid w:val="00B26E8F"/>
    <w:rsid w:val="00B30122"/>
    <w:rsid w:val="00B3153B"/>
    <w:rsid w:val="00B3593A"/>
    <w:rsid w:val="00B426D9"/>
    <w:rsid w:val="00B76D82"/>
    <w:rsid w:val="00B77491"/>
    <w:rsid w:val="00B823AA"/>
    <w:rsid w:val="00B849BE"/>
    <w:rsid w:val="00B854D7"/>
    <w:rsid w:val="00B90E13"/>
    <w:rsid w:val="00BA45DB"/>
    <w:rsid w:val="00BB5D44"/>
    <w:rsid w:val="00BB6213"/>
    <w:rsid w:val="00BB7E1B"/>
    <w:rsid w:val="00BD7F1B"/>
    <w:rsid w:val="00BE3129"/>
    <w:rsid w:val="00BE6FD1"/>
    <w:rsid w:val="00BF25B6"/>
    <w:rsid w:val="00BF33CD"/>
    <w:rsid w:val="00BF4184"/>
    <w:rsid w:val="00BF72EF"/>
    <w:rsid w:val="00C030E0"/>
    <w:rsid w:val="00C0601E"/>
    <w:rsid w:val="00C10DB7"/>
    <w:rsid w:val="00C168FC"/>
    <w:rsid w:val="00C31D30"/>
    <w:rsid w:val="00C33428"/>
    <w:rsid w:val="00C37756"/>
    <w:rsid w:val="00C4138C"/>
    <w:rsid w:val="00C44D7B"/>
    <w:rsid w:val="00C6033D"/>
    <w:rsid w:val="00C63999"/>
    <w:rsid w:val="00C64ADB"/>
    <w:rsid w:val="00C83600"/>
    <w:rsid w:val="00C85927"/>
    <w:rsid w:val="00CA1991"/>
    <w:rsid w:val="00CA6A2B"/>
    <w:rsid w:val="00CA6FC3"/>
    <w:rsid w:val="00CB0BAF"/>
    <w:rsid w:val="00CD2E47"/>
    <w:rsid w:val="00CD4656"/>
    <w:rsid w:val="00CD6E39"/>
    <w:rsid w:val="00CE07A6"/>
    <w:rsid w:val="00CE102D"/>
    <w:rsid w:val="00CF22A3"/>
    <w:rsid w:val="00CF6E91"/>
    <w:rsid w:val="00D10746"/>
    <w:rsid w:val="00D10BD9"/>
    <w:rsid w:val="00D24625"/>
    <w:rsid w:val="00D35118"/>
    <w:rsid w:val="00D55E14"/>
    <w:rsid w:val="00D67183"/>
    <w:rsid w:val="00D71FDB"/>
    <w:rsid w:val="00D7320B"/>
    <w:rsid w:val="00D7418C"/>
    <w:rsid w:val="00D759F7"/>
    <w:rsid w:val="00D81C55"/>
    <w:rsid w:val="00D84FE6"/>
    <w:rsid w:val="00D85B16"/>
    <w:rsid w:val="00D85B68"/>
    <w:rsid w:val="00D91B47"/>
    <w:rsid w:val="00DA24BA"/>
    <w:rsid w:val="00DA4602"/>
    <w:rsid w:val="00DA71E8"/>
    <w:rsid w:val="00DB45B3"/>
    <w:rsid w:val="00DB7320"/>
    <w:rsid w:val="00DC31B9"/>
    <w:rsid w:val="00DC5F47"/>
    <w:rsid w:val="00DE34F0"/>
    <w:rsid w:val="00DF5C46"/>
    <w:rsid w:val="00E01E8A"/>
    <w:rsid w:val="00E02FAD"/>
    <w:rsid w:val="00E30F30"/>
    <w:rsid w:val="00E44EF2"/>
    <w:rsid w:val="00E454AA"/>
    <w:rsid w:val="00E4747E"/>
    <w:rsid w:val="00E57B63"/>
    <w:rsid w:val="00E6004D"/>
    <w:rsid w:val="00E609BB"/>
    <w:rsid w:val="00E61CD9"/>
    <w:rsid w:val="00E652DC"/>
    <w:rsid w:val="00E6605C"/>
    <w:rsid w:val="00E75009"/>
    <w:rsid w:val="00E81978"/>
    <w:rsid w:val="00E8634F"/>
    <w:rsid w:val="00E90D3C"/>
    <w:rsid w:val="00E93A7D"/>
    <w:rsid w:val="00E97628"/>
    <w:rsid w:val="00EB6A99"/>
    <w:rsid w:val="00EC159A"/>
    <w:rsid w:val="00EC2E12"/>
    <w:rsid w:val="00EC590F"/>
    <w:rsid w:val="00ED654F"/>
    <w:rsid w:val="00ED73D8"/>
    <w:rsid w:val="00EF7277"/>
    <w:rsid w:val="00F13D49"/>
    <w:rsid w:val="00F303AB"/>
    <w:rsid w:val="00F336CD"/>
    <w:rsid w:val="00F33792"/>
    <w:rsid w:val="00F379B7"/>
    <w:rsid w:val="00F37E1E"/>
    <w:rsid w:val="00F40540"/>
    <w:rsid w:val="00F44C98"/>
    <w:rsid w:val="00F525FA"/>
    <w:rsid w:val="00F57BFD"/>
    <w:rsid w:val="00F678F8"/>
    <w:rsid w:val="00F7431F"/>
    <w:rsid w:val="00F81BAA"/>
    <w:rsid w:val="00F91A29"/>
    <w:rsid w:val="00F91CC0"/>
    <w:rsid w:val="00F967EF"/>
    <w:rsid w:val="00FC3355"/>
    <w:rsid w:val="00FC537D"/>
    <w:rsid w:val="00FE1A50"/>
    <w:rsid w:val="00FE28B7"/>
    <w:rsid w:val="00FE76A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20"/>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88ADDE01-299E-41FB-AF7F-D29AE532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9</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Rehman Khalid</cp:lastModifiedBy>
  <cp:revision>2</cp:revision>
  <dcterms:created xsi:type="dcterms:W3CDTF">2019-12-05T19:13:00Z</dcterms:created>
  <dcterms:modified xsi:type="dcterms:W3CDTF">2019-12-05T19:13:00Z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zotero-version="5.0.78"&gt;&lt;session id="SpfKNFb1"/&gt;&lt;style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