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FC5FF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FC5FF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29785A" w:rsidRDefault="00FC5FF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BUSINESS FINANCE</w:t>
      </w:r>
    </w:p>
    <w:p w:rsidR="00683EA7" w:rsidRDefault="00FC5FFE" w:rsidP="00A16E13">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7D4A55" w:rsidRPr="00683EA7" w:rsidRDefault="00FC5FFE" w:rsidP="00A16E13">
      <w:pPr>
        <w:spacing w:after="0" w:line="480" w:lineRule="auto"/>
        <w:rPr>
          <w:rFonts w:ascii="Times New Roman" w:hAnsi="Times New Roman" w:cs="Times New Roman"/>
          <w:sz w:val="24"/>
          <w:szCs w:val="24"/>
        </w:rPr>
      </w:pPr>
      <w:r w:rsidRPr="00683EA7">
        <w:rPr>
          <w:rFonts w:ascii="Times New Roman" w:hAnsi="Times New Roman" w:cs="Times New Roman"/>
          <w:b/>
          <w:sz w:val="24"/>
          <w:szCs w:val="24"/>
        </w:rPr>
        <w:t>Company Name And Ticker Symbol:</w:t>
      </w:r>
      <w:r w:rsidR="007065B5" w:rsidRPr="00683EA7">
        <w:rPr>
          <w:rFonts w:ascii="Times New Roman" w:hAnsi="Times New Roman" w:cs="Times New Roman"/>
          <w:sz w:val="24"/>
          <w:szCs w:val="24"/>
        </w:rPr>
        <w:br/>
        <w:t xml:space="preserve">Company Name: </w:t>
      </w:r>
      <w:r w:rsidR="0046768F" w:rsidRPr="00683EA7">
        <w:rPr>
          <w:rFonts w:ascii="Times New Roman" w:hAnsi="Times New Roman" w:cs="Times New Roman"/>
          <w:sz w:val="24"/>
          <w:szCs w:val="24"/>
        </w:rPr>
        <w:t>Pfizer Inc. New York City, New York USA.</w:t>
      </w:r>
    </w:p>
    <w:p w:rsidR="0046768F" w:rsidRPr="00683EA7" w:rsidRDefault="00FC5FFE" w:rsidP="00A16E13">
      <w:pPr>
        <w:spacing w:after="0" w:line="480" w:lineRule="auto"/>
        <w:rPr>
          <w:rFonts w:ascii="Times New Roman" w:hAnsi="Times New Roman" w:cs="Times New Roman"/>
          <w:sz w:val="24"/>
          <w:szCs w:val="24"/>
          <w:shd w:val="clear" w:color="auto" w:fill="FFFFFF"/>
        </w:rPr>
      </w:pPr>
      <w:r w:rsidRPr="00683EA7">
        <w:rPr>
          <w:rFonts w:ascii="Times New Roman" w:hAnsi="Times New Roman" w:cs="Times New Roman"/>
          <w:sz w:val="24"/>
          <w:szCs w:val="24"/>
        </w:rPr>
        <w:t xml:space="preserve">Ticker Symbol: </w:t>
      </w:r>
      <w:r w:rsidRPr="00683EA7">
        <w:rPr>
          <w:rFonts w:ascii="Times New Roman" w:hAnsi="Times New Roman" w:cs="Times New Roman"/>
          <w:sz w:val="24"/>
          <w:szCs w:val="24"/>
          <w:shd w:val="clear" w:color="auto" w:fill="FFFFFF"/>
        </w:rPr>
        <w:t>NYSE: PFE</w:t>
      </w:r>
    </w:p>
    <w:p w:rsidR="00B04EDC" w:rsidRPr="00683EA7" w:rsidRDefault="00FC5FFE" w:rsidP="00683EA7">
      <w:pPr>
        <w:spacing w:after="0" w:line="480" w:lineRule="auto"/>
        <w:rPr>
          <w:rFonts w:ascii="Times New Roman" w:hAnsi="Times New Roman" w:cs="Times New Roman"/>
          <w:b/>
          <w:sz w:val="24"/>
          <w:szCs w:val="24"/>
          <w:shd w:val="clear" w:color="auto" w:fill="FFFFFF"/>
        </w:rPr>
      </w:pPr>
      <w:r w:rsidRPr="00683EA7">
        <w:rPr>
          <w:rFonts w:ascii="Times New Roman" w:hAnsi="Times New Roman" w:cs="Times New Roman"/>
          <w:b/>
          <w:sz w:val="24"/>
          <w:szCs w:val="24"/>
          <w:shd w:val="clear" w:color="auto" w:fill="FFFFFF"/>
        </w:rPr>
        <w:t xml:space="preserve">K-10 Report:  </w:t>
      </w:r>
      <w:hyperlink r:id="rId8" w:history="1">
        <w:r w:rsidRPr="00683EA7">
          <w:rPr>
            <w:rStyle w:val="Hyperlink"/>
            <w:rFonts w:ascii="Times New Roman" w:hAnsi="Times New Roman" w:cs="Times New Roman"/>
            <w:color w:val="auto"/>
            <w:sz w:val="24"/>
            <w:szCs w:val="24"/>
            <w:shd w:val="clear" w:color="auto" w:fill="FFFFFF"/>
          </w:rPr>
          <w:t>https://investors.pfizer.com/financials/sec-filings/sec-filings-details/default.aspx?FilingId=12571561</w:t>
        </w:r>
      </w:hyperlink>
    </w:p>
    <w:p w:rsidR="00B04EDC" w:rsidRPr="00683EA7" w:rsidRDefault="00FC5FFE" w:rsidP="00683EA7">
      <w:pPr>
        <w:spacing w:after="0" w:line="480" w:lineRule="auto"/>
        <w:rPr>
          <w:rFonts w:ascii="Times New Roman" w:eastAsia="Times New Roman" w:hAnsi="Times New Roman" w:cs="Times New Roman"/>
          <w:spacing w:val="3"/>
          <w:sz w:val="24"/>
          <w:szCs w:val="24"/>
        </w:rPr>
      </w:pPr>
      <w:r w:rsidRPr="00683EA7">
        <w:rPr>
          <w:rFonts w:ascii="Times New Roman" w:eastAsia="Times New Roman" w:hAnsi="Times New Roman" w:cs="Times New Roman"/>
          <w:b/>
          <w:bCs/>
          <w:spacing w:val="3"/>
          <w:sz w:val="24"/>
          <w:szCs w:val="24"/>
          <w:bdr w:val="none" w:sz="0" w:space="0" w:color="auto" w:frame="1"/>
        </w:rPr>
        <w:t>Company Website:</w:t>
      </w:r>
      <w:r w:rsidRPr="00683EA7">
        <w:rPr>
          <w:rFonts w:ascii="Times New Roman" w:eastAsia="Times New Roman" w:hAnsi="Times New Roman" w:cs="Times New Roman"/>
          <w:spacing w:val="3"/>
          <w:sz w:val="24"/>
          <w:szCs w:val="24"/>
        </w:rPr>
        <w:t> </w:t>
      </w:r>
      <w:hyperlink r:id="rId9" w:history="1">
        <w:r w:rsidRPr="00683EA7">
          <w:rPr>
            <w:rStyle w:val="Hyperlink"/>
            <w:rFonts w:ascii="Times New Roman" w:eastAsia="Times New Roman" w:hAnsi="Times New Roman" w:cs="Times New Roman"/>
            <w:color w:val="auto"/>
            <w:spacing w:val="3"/>
            <w:sz w:val="24"/>
            <w:szCs w:val="24"/>
          </w:rPr>
          <w:t>https://www.pfizer.com/</w:t>
        </w:r>
      </w:hyperlink>
      <w:r w:rsidRPr="00683EA7">
        <w:rPr>
          <w:rFonts w:ascii="Times New Roman" w:eastAsia="Times New Roman" w:hAnsi="Times New Roman" w:cs="Times New Roman"/>
          <w:spacing w:val="3"/>
          <w:sz w:val="24"/>
          <w:szCs w:val="24"/>
        </w:rPr>
        <w:t xml:space="preserve"> </w:t>
      </w:r>
      <w:r w:rsidR="00683EA7">
        <w:rPr>
          <w:rFonts w:ascii="Times New Roman" w:eastAsia="Times New Roman" w:hAnsi="Times New Roman" w:cs="Times New Roman"/>
          <w:spacing w:val="3"/>
          <w:sz w:val="24"/>
          <w:szCs w:val="24"/>
        </w:rPr>
        <w:t xml:space="preserve"> </w:t>
      </w:r>
    </w:p>
    <w:p w:rsidR="00683EA7" w:rsidRPr="00683EA7" w:rsidRDefault="00FC5FFE" w:rsidP="00683EA7">
      <w:pPr>
        <w:spacing w:after="0" w:line="480" w:lineRule="auto"/>
        <w:rPr>
          <w:rFonts w:ascii="Times New Roman" w:eastAsia="Times New Roman" w:hAnsi="Times New Roman" w:cs="Times New Roman"/>
          <w:spacing w:val="3"/>
          <w:sz w:val="24"/>
          <w:szCs w:val="24"/>
        </w:rPr>
      </w:pPr>
      <w:r w:rsidRPr="00683EA7">
        <w:rPr>
          <w:rFonts w:ascii="Times New Roman" w:eastAsia="Times New Roman" w:hAnsi="Times New Roman" w:cs="Times New Roman"/>
          <w:b/>
          <w:bCs/>
          <w:spacing w:val="3"/>
          <w:sz w:val="24"/>
          <w:szCs w:val="24"/>
          <w:bdr w:val="none" w:sz="0" w:space="0" w:color="auto" w:frame="1"/>
        </w:rPr>
        <w:t>Industry name and NAICS Code: </w:t>
      </w:r>
      <w:r w:rsidRPr="00683EA7">
        <w:rPr>
          <w:rFonts w:ascii="Times New Roman" w:eastAsia="Times New Roman" w:hAnsi="Times New Roman" w:cs="Times New Roman"/>
          <w:b/>
          <w:bCs/>
          <w:spacing w:val="3"/>
          <w:sz w:val="24"/>
          <w:szCs w:val="24"/>
          <w:bdr w:val="none" w:sz="0" w:space="0" w:color="auto" w:frame="1"/>
        </w:rPr>
        <w:tab/>
      </w:r>
      <w:r w:rsidRPr="00683EA7">
        <w:rPr>
          <w:rFonts w:ascii="Times New Roman" w:eastAsia="Times New Roman" w:hAnsi="Times New Roman" w:cs="Times New Roman"/>
          <w:spacing w:val="3"/>
          <w:sz w:val="24"/>
          <w:szCs w:val="24"/>
        </w:rPr>
        <w:t>Pharmaceutical Preparation and Manufacturing. Code: 325412</w:t>
      </w:r>
    </w:p>
    <w:p w:rsidR="00683EA7" w:rsidRPr="00683EA7" w:rsidRDefault="00FC5FFE" w:rsidP="00683EA7">
      <w:pPr>
        <w:spacing w:after="0" w:line="480" w:lineRule="auto"/>
        <w:rPr>
          <w:rFonts w:ascii="Times New Roman" w:eastAsia="Times New Roman" w:hAnsi="Times New Roman" w:cs="Times New Roman"/>
          <w:spacing w:val="3"/>
          <w:sz w:val="24"/>
          <w:szCs w:val="24"/>
        </w:rPr>
      </w:pPr>
      <w:r w:rsidRPr="00683EA7">
        <w:rPr>
          <w:rFonts w:ascii="Times New Roman" w:eastAsia="Times New Roman" w:hAnsi="Times New Roman" w:cs="Times New Roman"/>
          <w:b/>
          <w:bCs/>
          <w:spacing w:val="3"/>
          <w:sz w:val="24"/>
          <w:szCs w:val="24"/>
          <w:bdr w:val="none" w:sz="0" w:space="0" w:color="auto" w:frame="1"/>
        </w:rPr>
        <w:t>Debt Utilization Ratios:</w:t>
      </w:r>
      <w:r w:rsidRPr="00683EA7">
        <w:rPr>
          <w:rFonts w:ascii="Times New Roman" w:eastAsia="Times New Roman" w:hAnsi="Times New Roman" w:cs="Times New Roman"/>
          <w:spacing w:val="3"/>
          <w:sz w:val="24"/>
          <w:szCs w:val="24"/>
        </w:rPr>
        <w:t> </w:t>
      </w:r>
      <w:r w:rsidR="0026787F">
        <w:rPr>
          <w:rFonts w:ascii="Times New Roman" w:eastAsia="Times New Roman" w:hAnsi="Times New Roman" w:cs="Times New Roman"/>
          <w:spacing w:val="3"/>
          <w:sz w:val="24"/>
          <w:szCs w:val="24"/>
        </w:rPr>
        <w:t xml:space="preserve">According to the Pfizer.com (2019, N.p), the Annual report of the company for the year 2017. The total Assets of the company were $ 171,797 million, while the total debts were $ 100,141. </w:t>
      </w:r>
      <w:r w:rsidR="00E41B25">
        <w:rPr>
          <w:rFonts w:ascii="Times New Roman" w:eastAsia="Times New Roman" w:hAnsi="Times New Roman" w:cs="Times New Roman"/>
          <w:spacing w:val="3"/>
          <w:sz w:val="24"/>
          <w:szCs w:val="24"/>
        </w:rPr>
        <w:t xml:space="preserve">The total equity of the company was $ 71656 million, and the total earning before interests and tax were $ 12305 million. The total interest paid in the financial year 2017 were $ 47. </w:t>
      </w:r>
      <w:bookmarkStart w:id="0" w:name="_GoBack"/>
      <w:bookmarkEnd w:id="0"/>
    </w:p>
    <w:tbl>
      <w:tblPr>
        <w:tblW w:w="9374" w:type="dxa"/>
        <w:tblCellMar>
          <w:left w:w="0" w:type="dxa"/>
          <w:right w:w="0" w:type="dxa"/>
        </w:tblCellMar>
        <w:tblLook w:val="04A0" w:firstRow="1" w:lastRow="0" w:firstColumn="1" w:lastColumn="0" w:noHBand="0" w:noVBand="1"/>
        <w:tblDescription w:val="Asset Utilization Ratios"/>
      </w:tblPr>
      <w:tblGrid>
        <w:gridCol w:w="4874"/>
        <w:gridCol w:w="20"/>
        <w:gridCol w:w="1754"/>
        <w:gridCol w:w="1610"/>
        <w:gridCol w:w="1116"/>
      </w:tblGrid>
      <w:tr w:rsidR="00F00E96" w:rsidTr="00D04A23">
        <w:trPr>
          <w:gridAfter w:val="1"/>
          <w:wAfter w:w="1116" w:type="dxa"/>
        </w:trPr>
        <w:tc>
          <w:tcPr>
            <w:tcW w:w="4874" w:type="dxa"/>
            <w:vAlign w:val="center"/>
            <w:hideMark/>
          </w:tcPr>
          <w:p w:rsidR="00A43813" w:rsidRPr="00683EA7" w:rsidRDefault="00FC5FFE" w:rsidP="00683EA7">
            <w:pPr>
              <w:spacing w:after="0" w:line="240" w:lineRule="auto"/>
              <w:jc w:val="center"/>
              <w:rPr>
                <w:rFonts w:ascii="Times New Roman" w:eastAsia="Times New Roman" w:hAnsi="Times New Roman" w:cs="Times New Roman"/>
                <w:spacing w:val="3"/>
                <w:sz w:val="24"/>
                <w:szCs w:val="24"/>
              </w:rPr>
            </w:pPr>
            <w:r w:rsidRPr="00683EA7">
              <w:rPr>
                <w:rFonts w:ascii="Times New Roman" w:eastAsia="Times New Roman" w:hAnsi="Times New Roman" w:cs="Times New Roman"/>
                <w:spacing w:val="3"/>
                <w:sz w:val="24"/>
                <w:szCs w:val="24"/>
              </w:rPr>
              <w:t>For the year 2017</w:t>
            </w:r>
            <w:r w:rsidR="00683EA7" w:rsidRPr="00683EA7">
              <w:rPr>
                <w:rFonts w:ascii="Times New Roman" w:eastAsia="Times New Roman" w:hAnsi="Times New Roman" w:cs="Times New Roman"/>
                <w:spacing w:val="3"/>
                <w:sz w:val="24"/>
                <w:szCs w:val="24"/>
              </w:rPr>
              <w:t xml:space="preserve"> (In Millions)</w:t>
            </w:r>
          </w:p>
        </w:tc>
        <w:tc>
          <w:tcPr>
            <w:tcW w:w="20" w:type="dxa"/>
            <w:vAlign w:val="center"/>
          </w:tcPr>
          <w:p w:rsidR="00A43813" w:rsidRPr="00683EA7" w:rsidRDefault="00A43813" w:rsidP="00683EA7">
            <w:pPr>
              <w:spacing w:after="0" w:line="240" w:lineRule="auto"/>
              <w:jc w:val="center"/>
              <w:rPr>
                <w:rFonts w:ascii="Times New Roman" w:eastAsia="Times New Roman" w:hAnsi="Times New Roman" w:cs="Times New Roman"/>
                <w:b/>
                <w:bCs/>
                <w:sz w:val="24"/>
                <w:szCs w:val="24"/>
              </w:rPr>
            </w:pPr>
          </w:p>
        </w:tc>
        <w:tc>
          <w:tcPr>
            <w:tcW w:w="1754" w:type="dxa"/>
            <w:vAlign w:val="center"/>
          </w:tcPr>
          <w:p w:rsidR="00A43813" w:rsidRPr="00683EA7" w:rsidRDefault="00A43813" w:rsidP="00683EA7">
            <w:pPr>
              <w:spacing w:after="0" w:line="240" w:lineRule="auto"/>
              <w:jc w:val="center"/>
              <w:rPr>
                <w:rFonts w:ascii="Times New Roman" w:eastAsia="Times New Roman" w:hAnsi="Times New Roman" w:cs="Times New Roman"/>
                <w:b/>
                <w:bCs/>
                <w:sz w:val="24"/>
                <w:szCs w:val="24"/>
              </w:rPr>
            </w:pPr>
          </w:p>
        </w:tc>
        <w:tc>
          <w:tcPr>
            <w:tcW w:w="1610" w:type="dxa"/>
            <w:vAlign w:val="center"/>
          </w:tcPr>
          <w:p w:rsidR="00A43813" w:rsidRPr="00683EA7" w:rsidRDefault="00A43813" w:rsidP="00683EA7">
            <w:pPr>
              <w:spacing w:after="0" w:line="240" w:lineRule="auto"/>
              <w:jc w:val="center"/>
              <w:rPr>
                <w:rFonts w:ascii="Times New Roman" w:eastAsia="Times New Roman" w:hAnsi="Times New Roman" w:cs="Times New Roman"/>
                <w:b/>
                <w:bCs/>
                <w:sz w:val="24"/>
                <w:szCs w:val="24"/>
              </w:rPr>
            </w:pPr>
          </w:p>
        </w:tc>
      </w:tr>
      <w:tr w:rsidR="00F00E96" w:rsidTr="00D04A23">
        <w:trPr>
          <w:gridAfter w:val="1"/>
          <w:wAfter w:w="1116" w:type="dxa"/>
          <w:trHeight w:val="506"/>
        </w:trPr>
        <w:tc>
          <w:tcPr>
            <w:tcW w:w="4874" w:type="dxa"/>
            <w:vMerge w:val="restart"/>
            <w:vAlign w:val="center"/>
            <w:hideMark/>
          </w:tcPr>
          <w:p w:rsidR="00A43813" w:rsidRPr="00683EA7" w:rsidRDefault="00FC5FFE" w:rsidP="00683EA7">
            <w:pPr>
              <w:spacing w:after="0" w:line="240" w:lineRule="auto"/>
              <w:jc w:val="center"/>
              <w:rPr>
                <w:rFonts w:ascii="Times New Roman" w:eastAsia="Times New Roman" w:hAnsi="Times New Roman" w:cs="Times New Roman"/>
                <w:bCs/>
                <w:szCs w:val="24"/>
              </w:rPr>
            </w:pPr>
            <w:r w:rsidRPr="00683EA7">
              <w:rPr>
                <w:rFonts w:ascii="Times New Roman" w:eastAsia="Times New Roman" w:hAnsi="Times New Roman" w:cs="Times New Roman"/>
                <w:bCs/>
                <w:szCs w:val="24"/>
              </w:rPr>
              <w:t>Debt Ratio (Total Liabilities / Total Assets)</w:t>
            </w:r>
          </w:p>
        </w:tc>
        <w:tc>
          <w:tcPr>
            <w:tcW w:w="20" w:type="dxa"/>
            <w:vMerge w:val="restart"/>
            <w:vAlign w:val="center"/>
          </w:tcPr>
          <w:p w:rsidR="00A43813" w:rsidRPr="00683EA7" w:rsidRDefault="00A43813" w:rsidP="00683EA7">
            <w:pPr>
              <w:spacing w:after="0" w:line="240" w:lineRule="auto"/>
              <w:rPr>
                <w:rFonts w:ascii="Times New Roman" w:eastAsia="Times New Roman" w:hAnsi="Times New Roman" w:cs="Times New Roman"/>
                <w:szCs w:val="24"/>
              </w:rPr>
            </w:pPr>
          </w:p>
        </w:tc>
        <w:tc>
          <w:tcPr>
            <w:tcW w:w="1754" w:type="dxa"/>
            <w:vMerge w:val="restart"/>
            <w:vAlign w:val="center"/>
          </w:tcPr>
          <w:p w:rsidR="00A43813" w:rsidRPr="00683EA7" w:rsidRDefault="00FC5FFE" w:rsidP="00683EA7">
            <w:pPr>
              <w:spacing w:after="0" w:line="240" w:lineRule="auto"/>
              <w:rPr>
                <w:rFonts w:ascii="Times New Roman" w:eastAsia="Times New Roman" w:hAnsi="Times New Roman" w:cs="Times New Roman"/>
                <w:szCs w:val="24"/>
              </w:rPr>
            </w:pPr>
            <w:r w:rsidRPr="00683EA7">
              <w:rPr>
                <w:rFonts w:ascii="Times New Roman" w:eastAsia="Times New Roman" w:hAnsi="Times New Roman" w:cs="Times New Roman"/>
                <w:szCs w:val="24"/>
              </w:rPr>
              <w:t>100141/171797=</w:t>
            </w:r>
          </w:p>
        </w:tc>
        <w:tc>
          <w:tcPr>
            <w:tcW w:w="1610" w:type="dxa"/>
            <w:vMerge w:val="restart"/>
            <w:vAlign w:val="center"/>
          </w:tcPr>
          <w:p w:rsidR="00D04A23" w:rsidRPr="00683EA7" w:rsidRDefault="00FC5FFE" w:rsidP="00683EA7">
            <w:pPr>
              <w:spacing w:after="0" w:line="240" w:lineRule="auto"/>
              <w:rPr>
                <w:rFonts w:ascii="Times New Roman" w:eastAsia="Times New Roman" w:hAnsi="Times New Roman" w:cs="Times New Roman"/>
                <w:szCs w:val="24"/>
              </w:rPr>
            </w:pPr>
            <w:r w:rsidRPr="00683EA7">
              <w:rPr>
                <w:rFonts w:ascii="Times New Roman" w:eastAsia="Times New Roman" w:hAnsi="Times New Roman" w:cs="Times New Roman"/>
                <w:szCs w:val="24"/>
              </w:rPr>
              <w:t xml:space="preserve"> 0.592</w:t>
            </w:r>
            <w:r>
              <w:rPr>
                <w:rFonts w:ascii="Times New Roman" w:eastAsia="Times New Roman" w:hAnsi="Times New Roman" w:cs="Times New Roman"/>
                <w:szCs w:val="24"/>
              </w:rPr>
              <w:t xml:space="preserve"> </w:t>
            </w:r>
          </w:p>
        </w:tc>
      </w:tr>
      <w:tr w:rsidR="00F00E96" w:rsidTr="00D04A23">
        <w:tc>
          <w:tcPr>
            <w:tcW w:w="4874" w:type="dxa"/>
            <w:vMerge/>
            <w:vAlign w:val="center"/>
            <w:hideMark/>
          </w:tcPr>
          <w:p w:rsidR="00B04EDC" w:rsidRPr="00683EA7" w:rsidRDefault="00B04EDC" w:rsidP="00683EA7">
            <w:pPr>
              <w:spacing w:after="0" w:line="240" w:lineRule="auto"/>
              <w:rPr>
                <w:rFonts w:ascii="Times New Roman" w:eastAsia="Times New Roman" w:hAnsi="Times New Roman" w:cs="Times New Roman"/>
                <w:bCs/>
                <w:szCs w:val="24"/>
              </w:rPr>
            </w:pPr>
          </w:p>
        </w:tc>
        <w:tc>
          <w:tcPr>
            <w:tcW w:w="20" w:type="dxa"/>
            <w:vMerge/>
            <w:vAlign w:val="center"/>
            <w:hideMark/>
          </w:tcPr>
          <w:p w:rsidR="00B04EDC" w:rsidRPr="00683EA7" w:rsidRDefault="00B04EDC" w:rsidP="00683EA7">
            <w:pPr>
              <w:spacing w:after="0" w:line="240" w:lineRule="auto"/>
              <w:rPr>
                <w:rFonts w:ascii="Times New Roman" w:eastAsia="Times New Roman" w:hAnsi="Times New Roman" w:cs="Times New Roman"/>
                <w:szCs w:val="24"/>
              </w:rPr>
            </w:pPr>
          </w:p>
        </w:tc>
        <w:tc>
          <w:tcPr>
            <w:tcW w:w="1754" w:type="dxa"/>
            <w:vMerge/>
            <w:vAlign w:val="center"/>
            <w:hideMark/>
          </w:tcPr>
          <w:p w:rsidR="00B04EDC" w:rsidRPr="00683EA7" w:rsidRDefault="00B04EDC" w:rsidP="00683EA7">
            <w:pPr>
              <w:spacing w:after="0" w:line="240" w:lineRule="auto"/>
              <w:rPr>
                <w:rFonts w:ascii="Times New Roman" w:eastAsia="Times New Roman" w:hAnsi="Times New Roman" w:cs="Times New Roman"/>
                <w:szCs w:val="24"/>
              </w:rPr>
            </w:pPr>
          </w:p>
        </w:tc>
        <w:tc>
          <w:tcPr>
            <w:tcW w:w="1610" w:type="dxa"/>
            <w:vMerge/>
            <w:vAlign w:val="center"/>
            <w:hideMark/>
          </w:tcPr>
          <w:p w:rsidR="00B04EDC" w:rsidRPr="00683EA7" w:rsidRDefault="00B04EDC" w:rsidP="00683EA7">
            <w:pPr>
              <w:spacing w:after="0" w:line="240" w:lineRule="auto"/>
              <w:rPr>
                <w:rFonts w:ascii="Times New Roman" w:eastAsia="Times New Roman" w:hAnsi="Times New Roman" w:cs="Times New Roman"/>
                <w:szCs w:val="24"/>
              </w:rPr>
            </w:pPr>
          </w:p>
        </w:tc>
        <w:tc>
          <w:tcPr>
            <w:tcW w:w="1116" w:type="dxa"/>
            <w:vAlign w:val="center"/>
            <w:hideMark/>
          </w:tcPr>
          <w:p w:rsidR="00B04EDC" w:rsidRPr="00683EA7" w:rsidRDefault="00B04EDC" w:rsidP="00683EA7">
            <w:pPr>
              <w:spacing w:after="0" w:line="240" w:lineRule="auto"/>
              <w:rPr>
                <w:rFonts w:ascii="Times New Roman" w:eastAsia="Times New Roman" w:hAnsi="Times New Roman" w:cs="Times New Roman"/>
                <w:sz w:val="24"/>
                <w:szCs w:val="24"/>
              </w:rPr>
            </w:pPr>
          </w:p>
          <w:p w:rsidR="002905DA" w:rsidRPr="00683EA7" w:rsidRDefault="002905DA" w:rsidP="00683EA7">
            <w:pPr>
              <w:spacing w:after="0" w:line="240" w:lineRule="auto"/>
              <w:rPr>
                <w:rFonts w:ascii="Times New Roman" w:eastAsia="Times New Roman" w:hAnsi="Times New Roman" w:cs="Times New Roman"/>
                <w:sz w:val="24"/>
                <w:szCs w:val="24"/>
              </w:rPr>
            </w:pPr>
          </w:p>
        </w:tc>
      </w:tr>
      <w:tr w:rsidR="00F00E96" w:rsidTr="00D04A23">
        <w:tc>
          <w:tcPr>
            <w:tcW w:w="4874" w:type="dxa"/>
            <w:vMerge/>
            <w:vAlign w:val="center"/>
            <w:hideMark/>
          </w:tcPr>
          <w:p w:rsidR="00B04EDC" w:rsidRPr="00683EA7" w:rsidRDefault="00B04EDC" w:rsidP="00683EA7">
            <w:pPr>
              <w:spacing w:after="0" w:line="240" w:lineRule="auto"/>
              <w:rPr>
                <w:rFonts w:ascii="Times New Roman" w:eastAsia="Times New Roman" w:hAnsi="Times New Roman" w:cs="Times New Roman"/>
                <w:bCs/>
                <w:szCs w:val="24"/>
              </w:rPr>
            </w:pPr>
          </w:p>
        </w:tc>
        <w:tc>
          <w:tcPr>
            <w:tcW w:w="20" w:type="dxa"/>
            <w:vMerge/>
            <w:vAlign w:val="center"/>
            <w:hideMark/>
          </w:tcPr>
          <w:p w:rsidR="00B04EDC" w:rsidRPr="00683EA7" w:rsidRDefault="00B04EDC" w:rsidP="00683EA7">
            <w:pPr>
              <w:spacing w:after="0" w:line="240" w:lineRule="auto"/>
              <w:rPr>
                <w:rFonts w:ascii="Times New Roman" w:eastAsia="Times New Roman" w:hAnsi="Times New Roman" w:cs="Times New Roman"/>
                <w:szCs w:val="24"/>
              </w:rPr>
            </w:pPr>
          </w:p>
        </w:tc>
        <w:tc>
          <w:tcPr>
            <w:tcW w:w="1754" w:type="dxa"/>
            <w:vMerge/>
            <w:vAlign w:val="center"/>
            <w:hideMark/>
          </w:tcPr>
          <w:p w:rsidR="00B04EDC" w:rsidRPr="00683EA7" w:rsidRDefault="00B04EDC" w:rsidP="00683EA7">
            <w:pPr>
              <w:spacing w:after="0" w:line="240" w:lineRule="auto"/>
              <w:rPr>
                <w:rFonts w:ascii="Times New Roman" w:eastAsia="Times New Roman" w:hAnsi="Times New Roman" w:cs="Times New Roman"/>
                <w:szCs w:val="24"/>
              </w:rPr>
            </w:pPr>
          </w:p>
        </w:tc>
        <w:tc>
          <w:tcPr>
            <w:tcW w:w="1610" w:type="dxa"/>
            <w:vMerge/>
            <w:vAlign w:val="center"/>
          </w:tcPr>
          <w:p w:rsidR="00B04EDC" w:rsidRPr="00683EA7" w:rsidRDefault="00B04EDC" w:rsidP="00683EA7">
            <w:pPr>
              <w:spacing w:after="0" w:line="240" w:lineRule="auto"/>
              <w:rPr>
                <w:rFonts w:ascii="Times New Roman" w:eastAsia="Times New Roman" w:hAnsi="Times New Roman" w:cs="Times New Roman"/>
                <w:szCs w:val="24"/>
              </w:rPr>
            </w:pPr>
          </w:p>
        </w:tc>
        <w:tc>
          <w:tcPr>
            <w:tcW w:w="1116" w:type="dxa"/>
            <w:vAlign w:val="center"/>
          </w:tcPr>
          <w:p w:rsidR="00B04EDC" w:rsidRPr="00683EA7" w:rsidRDefault="00B04EDC" w:rsidP="00683EA7">
            <w:pPr>
              <w:spacing w:after="0" w:line="240" w:lineRule="auto"/>
              <w:rPr>
                <w:rFonts w:ascii="Times New Roman" w:eastAsia="Times New Roman" w:hAnsi="Times New Roman" w:cs="Times New Roman"/>
                <w:sz w:val="24"/>
                <w:szCs w:val="24"/>
              </w:rPr>
            </w:pPr>
          </w:p>
        </w:tc>
      </w:tr>
      <w:tr w:rsidR="00F00E96" w:rsidTr="00D04A23">
        <w:tc>
          <w:tcPr>
            <w:tcW w:w="4874" w:type="dxa"/>
            <w:vMerge w:val="restart"/>
            <w:vAlign w:val="center"/>
            <w:hideMark/>
          </w:tcPr>
          <w:p w:rsidR="00B04EDC" w:rsidRPr="00683EA7" w:rsidRDefault="00FC5FFE" w:rsidP="00683EA7">
            <w:pPr>
              <w:spacing w:after="0" w:line="240" w:lineRule="auto"/>
              <w:jc w:val="center"/>
              <w:rPr>
                <w:rFonts w:ascii="Times New Roman" w:eastAsia="Times New Roman" w:hAnsi="Times New Roman" w:cs="Times New Roman"/>
                <w:bCs/>
                <w:szCs w:val="24"/>
              </w:rPr>
            </w:pPr>
            <w:r w:rsidRPr="00683EA7">
              <w:rPr>
                <w:rFonts w:ascii="Times New Roman" w:eastAsia="Times New Roman" w:hAnsi="Times New Roman" w:cs="Times New Roman"/>
                <w:bCs/>
                <w:szCs w:val="24"/>
              </w:rPr>
              <w:t>Equity Ratio (Total Equity / Total Assets)</w:t>
            </w:r>
          </w:p>
        </w:tc>
        <w:tc>
          <w:tcPr>
            <w:tcW w:w="20" w:type="dxa"/>
            <w:vMerge w:val="restart"/>
            <w:vAlign w:val="center"/>
          </w:tcPr>
          <w:p w:rsidR="00B04EDC" w:rsidRPr="00683EA7" w:rsidRDefault="00B04EDC" w:rsidP="00683EA7">
            <w:pPr>
              <w:spacing w:after="0" w:line="240" w:lineRule="auto"/>
              <w:rPr>
                <w:rFonts w:ascii="Times New Roman" w:eastAsia="Times New Roman" w:hAnsi="Times New Roman" w:cs="Times New Roman"/>
                <w:szCs w:val="24"/>
              </w:rPr>
            </w:pPr>
          </w:p>
        </w:tc>
        <w:tc>
          <w:tcPr>
            <w:tcW w:w="1754" w:type="dxa"/>
            <w:vMerge w:val="restart"/>
            <w:vAlign w:val="center"/>
          </w:tcPr>
          <w:p w:rsidR="00B04EDC" w:rsidRPr="00683EA7" w:rsidRDefault="00FC5FFE" w:rsidP="00683EA7">
            <w:pPr>
              <w:spacing w:after="0" w:line="240" w:lineRule="auto"/>
              <w:rPr>
                <w:rFonts w:ascii="Times New Roman" w:eastAsia="Times New Roman" w:hAnsi="Times New Roman" w:cs="Times New Roman"/>
                <w:szCs w:val="24"/>
              </w:rPr>
            </w:pPr>
            <w:r w:rsidRPr="00683EA7">
              <w:rPr>
                <w:rFonts w:ascii="Times New Roman" w:eastAsia="Times New Roman" w:hAnsi="Times New Roman" w:cs="Times New Roman"/>
                <w:szCs w:val="24"/>
              </w:rPr>
              <w:t xml:space="preserve">=  </w:t>
            </w:r>
            <w:r w:rsidR="00A43813" w:rsidRPr="00683EA7">
              <w:rPr>
                <w:rFonts w:ascii="Times New Roman" w:eastAsia="Times New Roman" w:hAnsi="Times New Roman" w:cs="Times New Roman"/>
                <w:szCs w:val="24"/>
              </w:rPr>
              <w:t>71656</w:t>
            </w:r>
            <w:r w:rsidRPr="00683EA7">
              <w:rPr>
                <w:rFonts w:ascii="Times New Roman" w:eastAsia="Times New Roman" w:hAnsi="Times New Roman" w:cs="Times New Roman"/>
                <w:szCs w:val="24"/>
              </w:rPr>
              <w:t xml:space="preserve">/ </w:t>
            </w:r>
            <w:r w:rsidR="00A43813" w:rsidRPr="00683EA7">
              <w:rPr>
                <w:rFonts w:ascii="Times New Roman" w:eastAsia="Times New Roman" w:hAnsi="Times New Roman" w:cs="Times New Roman"/>
                <w:szCs w:val="24"/>
              </w:rPr>
              <w:t>171797</w:t>
            </w:r>
            <w:r w:rsidRPr="00683EA7">
              <w:rPr>
                <w:rFonts w:ascii="Times New Roman" w:eastAsia="Times New Roman" w:hAnsi="Times New Roman" w:cs="Times New Roman"/>
                <w:szCs w:val="24"/>
              </w:rPr>
              <w:t xml:space="preserve"> =   </w:t>
            </w:r>
          </w:p>
        </w:tc>
        <w:tc>
          <w:tcPr>
            <w:tcW w:w="1610" w:type="dxa"/>
            <w:vMerge w:val="restart"/>
            <w:vAlign w:val="center"/>
          </w:tcPr>
          <w:p w:rsidR="00B04EDC" w:rsidRPr="00683EA7" w:rsidRDefault="00FC5FFE" w:rsidP="00683EA7">
            <w:pPr>
              <w:spacing w:after="0" w:line="240" w:lineRule="auto"/>
              <w:rPr>
                <w:rFonts w:ascii="Times New Roman" w:eastAsia="Times New Roman" w:hAnsi="Times New Roman" w:cs="Times New Roman"/>
                <w:szCs w:val="24"/>
              </w:rPr>
            </w:pPr>
            <w:r w:rsidRPr="00683EA7">
              <w:rPr>
                <w:rFonts w:ascii="Times New Roman" w:eastAsia="Times New Roman" w:hAnsi="Times New Roman" w:cs="Times New Roman"/>
                <w:szCs w:val="24"/>
              </w:rPr>
              <w:t xml:space="preserve"> 0.408</w:t>
            </w:r>
          </w:p>
        </w:tc>
        <w:tc>
          <w:tcPr>
            <w:tcW w:w="1116" w:type="dxa"/>
            <w:vAlign w:val="center"/>
          </w:tcPr>
          <w:p w:rsidR="00B04EDC" w:rsidRPr="00683EA7" w:rsidRDefault="00B04EDC" w:rsidP="00683EA7">
            <w:pPr>
              <w:spacing w:after="0" w:line="240" w:lineRule="auto"/>
              <w:rPr>
                <w:rFonts w:ascii="Times New Roman" w:eastAsia="Times New Roman" w:hAnsi="Times New Roman" w:cs="Times New Roman"/>
                <w:sz w:val="24"/>
                <w:szCs w:val="24"/>
              </w:rPr>
            </w:pPr>
          </w:p>
        </w:tc>
      </w:tr>
      <w:tr w:rsidR="00F00E96" w:rsidTr="00D04A23">
        <w:tc>
          <w:tcPr>
            <w:tcW w:w="4874" w:type="dxa"/>
            <w:vMerge/>
            <w:vAlign w:val="center"/>
            <w:hideMark/>
          </w:tcPr>
          <w:p w:rsidR="00B04EDC" w:rsidRPr="00683EA7" w:rsidRDefault="00B04EDC" w:rsidP="00683EA7">
            <w:pPr>
              <w:spacing w:after="0" w:line="240" w:lineRule="auto"/>
              <w:rPr>
                <w:rFonts w:ascii="Times New Roman" w:eastAsia="Times New Roman" w:hAnsi="Times New Roman" w:cs="Times New Roman"/>
                <w:bCs/>
                <w:szCs w:val="24"/>
              </w:rPr>
            </w:pPr>
          </w:p>
        </w:tc>
        <w:tc>
          <w:tcPr>
            <w:tcW w:w="20" w:type="dxa"/>
            <w:vMerge/>
            <w:vAlign w:val="center"/>
          </w:tcPr>
          <w:p w:rsidR="00B04EDC" w:rsidRPr="00683EA7" w:rsidRDefault="00B04EDC" w:rsidP="00683EA7">
            <w:pPr>
              <w:spacing w:after="0" w:line="240" w:lineRule="auto"/>
              <w:rPr>
                <w:rFonts w:ascii="Times New Roman" w:eastAsia="Times New Roman" w:hAnsi="Times New Roman" w:cs="Times New Roman"/>
                <w:szCs w:val="24"/>
              </w:rPr>
            </w:pPr>
          </w:p>
        </w:tc>
        <w:tc>
          <w:tcPr>
            <w:tcW w:w="1754" w:type="dxa"/>
            <w:vMerge/>
            <w:vAlign w:val="center"/>
          </w:tcPr>
          <w:p w:rsidR="00B04EDC" w:rsidRPr="00683EA7" w:rsidRDefault="00B04EDC" w:rsidP="00683EA7">
            <w:pPr>
              <w:spacing w:after="0" w:line="240" w:lineRule="auto"/>
              <w:rPr>
                <w:rFonts w:ascii="Times New Roman" w:eastAsia="Times New Roman" w:hAnsi="Times New Roman" w:cs="Times New Roman"/>
                <w:szCs w:val="24"/>
              </w:rPr>
            </w:pPr>
          </w:p>
        </w:tc>
        <w:tc>
          <w:tcPr>
            <w:tcW w:w="1610" w:type="dxa"/>
            <w:vMerge/>
            <w:vAlign w:val="center"/>
          </w:tcPr>
          <w:p w:rsidR="00B04EDC" w:rsidRPr="00683EA7" w:rsidRDefault="00B04EDC" w:rsidP="00683EA7">
            <w:pPr>
              <w:spacing w:after="0" w:line="240" w:lineRule="auto"/>
              <w:rPr>
                <w:rFonts w:ascii="Times New Roman" w:eastAsia="Times New Roman" w:hAnsi="Times New Roman" w:cs="Times New Roman"/>
                <w:szCs w:val="24"/>
              </w:rPr>
            </w:pPr>
          </w:p>
        </w:tc>
        <w:tc>
          <w:tcPr>
            <w:tcW w:w="1116" w:type="dxa"/>
            <w:vAlign w:val="center"/>
          </w:tcPr>
          <w:p w:rsidR="00B04EDC" w:rsidRPr="00683EA7" w:rsidRDefault="00B04EDC" w:rsidP="00683EA7">
            <w:pPr>
              <w:spacing w:after="0" w:line="240" w:lineRule="auto"/>
              <w:rPr>
                <w:rFonts w:ascii="Times New Roman" w:eastAsia="Times New Roman" w:hAnsi="Times New Roman" w:cs="Times New Roman"/>
                <w:sz w:val="24"/>
                <w:szCs w:val="24"/>
              </w:rPr>
            </w:pPr>
          </w:p>
        </w:tc>
      </w:tr>
      <w:tr w:rsidR="00F00E96" w:rsidTr="00D04A23">
        <w:tc>
          <w:tcPr>
            <w:tcW w:w="4874" w:type="dxa"/>
            <w:vMerge/>
            <w:vAlign w:val="center"/>
            <w:hideMark/>
          </w:tcPr>
          <w:p w:rsidR="00B04EDC" w:rsidRPr="00683EA7" w:rsidRDefault="00B04EDC" w:rsidP="00683EA7">
            <w:pPr>
              <w:spacing w:after="0" w:line="240" w:lineRule="auto"/>
              <w:rPr>
                <w:rFonts w:ascii="Times New Roman" w:eastAsia="Times New Roman" w:hAnsi="Times New Roman" w:cs="Times New Roman"/>
                <w:bCs/>
                <w:szCs w:val="24"/>
              </w:rPr>
            </w:pPr>
          </w:p>
        </w:tc>
        <w:tc>
          <w:tcPr>
            <w:tcW w:w="20" w:type="dxa"/>
            <w:vMerge/>
            <w:vAlign w:val="center"/>
          </w:tcPr>
          <w:p w:rsidR="00B04EDC" w:rsidRPr="00683EA7" w:rsidRDefault="00B04EDC" w:rsidP="00683EA7">
            <w:pPr>
              <w:spacing w:after="0" w:line="240" w:lineRule="auto"/>
              <w:rPr>
                <w:rFonts w:ascii="Times New Roman" w:eastAsia="Times New Roman" w:hAnsi="Times New Roman" w:cs="Times New Roman"/>
                <w:szCs w:val="24"/>
              </w:rPr>
            </w:pPr>
          </w:p>
        </w:tc>
        <w:tc>
          <w:tcPr>
            <w:tcW w:w="1754" w:type="dxa"/>
            <w:vMerge/>
            <w:vAlign w:val="center"/>
          </w:tcPr>
          <w:p w:rsidR="00B04EDC" w:rsidRPr="00683EA7" w:rsidRDefault="00B04EDC" w:rsidP="00683EA7">
            <w:pPr>
              <w:spacing w:after="0" w:line="240" w:lineRule="auto"/>
              <w:rPr>
                <w:rFonts w:ascii="Times New Roman" w:eastAsia="Times New Roman" w:hAnsi="Times New Roman" w:cs="Times New Roman"/>
                <w:szCs w:val="24"/>
              </w:rPr>
            </w:pPr>
          </w:p>
        </w:tc>
        <w:tc>
          <w:tcPr>
            <w:tcW w:w="1610" w:type="dxa"/>
            <w:vMerge/>
            <w:vAlign w:val="center"/>
          </w:tcPr>
          <w:p w:rsidR="00B04EDC" w:rsidRPr="00683EA7" w:rsidRDefault="00B04EDC" w:rsidP="00683EA7">
            <w:pPr>
              <w:spacing w:after="0" w:line="240" w:lineRule="auto"/>
              <w:rPr>
                <w:rFonts w:ascii="Times New Roman" w:eastAsia="Times New Roman" w:hAnsi="Times New Roman" w:cs="Times New Roman"/>
                <w:szCs w:val="24"/>
              </w:rPr>
            </w:pPr>
          </w:p>
        </w:tc>
        <w:tc>
          <w:tcPr>
            <w:tcW w:w="1116" w:type="dxa"/>
            <w:vAlign w:val="center"/>
          </w:tcPr>
          <w:p w:rsidR="00B04EDC" w:rsidRPr="00683EA7" w:rsidRDefault="00B04EDC" w:rsidP="00683EA7">
            <w:pPr>
              <w:spacing w:after="0" w:line="240" w:lineRule="auto"/>
              <w:rPr>
                <w:rFonts w:ascii="Times New Roman" w:eastAsia="Times New Roman" w:hAnsi="Times New Roman" w:cs="Times New Roman"/>
                <w:sz w:val="24"/>
                <w:szCs w:val="24"/>
              </w:rPr>
            </w:pPr>
          </w:p>
        </w:tc>
      </w:tr>
      <w:tr w:rsidR="00F00E96" w:rsidTr="00D04A23">
        <w:tc>
          <w:tcPr>
            <w:tcW w:w="4874" w:type="dxa"/>
            <w:vMerge w:val="restart"/>
            <w:vAlign w:val="center"/>
            <w:hideMark/>
          </w:tcPr>
          <w:p w:rsidR="00A43813" w:rsidRPr="00683EA7" w:rsidRDefault="00FC5FFE" w:rsidP="00683EA7">
            <w:pPr>
              <w:spacing w:after="0" w:line="240" w:lineRule="auto"/>
              <w:jc w:val="center"/>
              <w:rPr>
                <w:rFonts w:ascii="Times New Roman" w:eastAsia="Times New Roman" w:hAnsi="Times New Roman" w:cs="Times New Roman"/>
                <w:bCs/>
                <w:szCs w:val="24"/>
              </w:rPr>
            </w:pPr>
            <w:r w:rsidRPr="00683EA7">
              <w:rPr>
                <w:rFonts w:ascii="Times New Roman" w:eastAsia="Times New Roman" w:hAnsi="Times New Roman" w:cs="Times New Roman"/>
                <w:bCs/>
                <w:szCs w:val="24"/>
              </w:rPr>
              <w:t xml:space="preserve">Times Interest Earned </w:t>
            </w:r>
            <w:r w:rsidR="00523FD8" w:rsidRPr="00683EA7">
              <w:rPr>
                <w:rFonts w:ascii="Times New Roman" w:eastAsia="Times New Roman" w:hAnsi="Times New Roman" w:cs="Times New Roman"/>
                <w:bCs/>
                <w:szCs w:val="24"/>
              </w:rPr>
              <w:t>EBIT/</w:t>
            </w:r>
            <w:r w:rsidRPr="00683EA7">
              <w:rPr>
                <w:rFonts w:ascii="Times New Roman" w:eastAsia="Times New Roman" w:hAnsi="Times New Roman" w:cs="Times New Roman"/>
                <w:bCs/>
                <w:szCs w:val="24"/>
              </w:rPr>
              <w:t xml:space="preserve"> Interest Exp)</w:t>
            </w:r>
          </w:p>
        </w:tc>
        <w:tc>
          <w:tcPr>
            <w:tcW w:w="20" w:type="dxa"/>
            <w:vMerge w:val="restart"/>
            <w:vAlign w:val="center"/>
          </w:tcPr>
          <w:p w:rsidR="00A43813" w:rsidRPr="00683EA7" w:rsidRDefault="00A43813" w:rsidP="00683EA7">
            <w:pPr>
              <w:spacing w:after="0" w:line="240" w:lineRule="auto"/>
              <w:rPr>
                <w:rFonts w:ascii="Times New Roman" w:eastAsia="Times New Roman" w:hAnsi="Times New Roman" w:cs="Times New Roman"/>
                <w:szCs w:val="24"/>
              </w:rPr>
            </w:pPr>
          </w:p>
        </w:tc>
        <w:tc>
          <w:tcPr>
            <w:tcW w:w="3364" w:type="dxa"/>
            <w:gridSpan w:val="2"/>
            <w:vMerge w:val="restart"/>
            <w:vAlign w:val="center"/>
          </w:tcPr>
          <w:p w:rsidR="00A43813" w:rsidRPr="00683EA7" w:rsidRDefault="00FC5FFE" w:rsidP="00683EA7">
            <w:pPr>
              <w:spacing w:after="0" w:line="240" w:lineRule="auto"/>
              <w:rPr>
                <w:rFonts w:ascii="Times New Roman" w:eastAsia="Times New Roman" w:hAnsi="Times New Roman" w:cs="Times New Roman"/>
                <w:szCs w:val="24"/>
              </w:rPr>
            </w:pPr>
            <w:r w:rsidRPr="00683EA7">
              <w:rPr>
                <w:rFonts w:ascii="Times New Roman" w:eastAsia="Times New Roman" w:hAnsi="Times New Roman" w:cs="Times New Roman"/>
                <w:szCs w:val="24"/>
              </w:rPr>
              <w:t xml:space="preserve"> </w:t>
            </w:r>
            <w:r w:rsidRPr="00683EA7">
              <w:rPr>
                <w:rFonts w:ascii="Times New Roman" w:eastAsia="Times New Roman" w:hAnsi="Times New Roman" w:cs="Times New Roman"/>
                <w:bCs/>
                <w:szCs w:val="24"/>
              </w:rPr>
              <w:t xml:space="preserve">     </w:t>
            </w:r>
            <w:r w:rsidR="00523FD8" w:rsidRPr="00683EA7">
              <w:rPr>
                <w:rFonts w:ascii="Times New Roman" w:eastAsia="Times New Roman" w:hAnsi="Times New Roman" w:cs="Times New Roman"/>
                <w:bCs/>
                <w:szCs w:val="24"/>
              </w:rPr>
              <w:t>12305</w:t>
            </w:r>
            <w:r w:rsidRPr="00683EA7">
              <w:rPr>
                <w:rFonts w:ascii="Times New Roman" w:eastAsia="Times New Roman" w:hAnsi="Times New Roman" w:cs="Times New Roman"/>
                <w:bCs/>
                <w:szCs w:val="24"/>
              </w:rPr>
              <w:t>/</w:t>
            </w:r>
            <w:r w:rsidR="00523FD8" w:rsidRPr="00683EA7">
              <w:rPr>
                <w:rFonts w:ascii="Times New Roman" w:eastAsia="Times New Roman" w:hAnsi="Times New Roman" w:cs="Times New Roman"/>
                <w:bCs/>
                <w:szCs w:val="24"/>
              </w:rPr>
              <w:t>47= 261.8</w:t>
            </w:r>
          </w:p>
        </w:tc>
        <w:tc>
          <w:tcPr>
            <w:tcW w:w="1116" w:type="dxa"/>
            <w:vAlign w:val="center"/>
          </w:tcPr>
          <w:p w:rsidR="00A43813" w:rsidRPr="00683EA7" w:rsidRDefault="00A43813" w:rsidP="00683EA7">
            <w:pPr>
              <w:spacing w:after="0" w:line="240" w:lineRule="auto"/>
              <w:rPr>
                <w:rFonts w:ascii="Times New Roman" w:eastAsia="Times New Roman" w:hAnsi="Times New Roman" w:cs="Times New Roman"/>
                <w:sz w:val="24"/>
                <w:szCs w:val="24"/>
              </w:rPr>
            </w:pPr>
          </w:p>
        </w:tc>
      </w:tr>
      <w:tr w:rsidR="00F00E96" w:rsidTr="00D04A23">
        <w:tc>
          <w:tcPr>
            <w:tcW w:w="4874" w:type="dxa"/>
            <w:vMerge/>
            <w:vAlign w:val="center"/>
            <w:hideMark/>
          </w:tcPr>
          <w:p w:rsidR="00A43813" w:rsidRPr="00683EA7" w:rsidRDefault="00A43813" w:rsidP="00683EA7">
            <w:pPr>
              <w:spacing w:after="0" w:line="480" w:lineRule="auto"/>
              <w:rPr>
                <w:rFonts w:ascii="Times New Roman" w:eastAsia="Times New Roman" w:hAnsi="Times New Roman" w:cs="Times New Roman"/>
                <w:b/>
                <w:bCs/>
                <w:sz w:val="24"/>
                <w:szCs w:val="24"/>
              </w:rPr>
            </w:pPr>
          </w:p>
        </w:tc>
        <w:tc>
          <w:tcPr>
            <w:tcW w:w="20" w:type="dxa"/>
            <w:vMerge/>
            <w:vAlign w:val="center"/>
          </w:tcPr>
          <w:p w:rsidR="00A43813" w:rsidRPr="00683EA7" w:rsidRDefault="00A43813" w:rsidP="00683EA7">
            <w:pPr>
              <w:spacing w:after="0" w:line="480" w:lineRule="auto"/>
              <w:rPr>
                <w:rFonts w:ascii="Times New Roman" w:eastAsia="Times New Roman" w:hAnsi="Times New Roman" w:cs="Times New Roman"/>
                <w:sz w:val="24"/>
                <w:szCs w:val="24"/>
              </w:rPr>
            </w:pPr>
          </w:p>
        </w:tc>
        <w:tc>
          <w:tcPr>
            <w:tcW w:w="3364" w:type="dxa"/>
            <w:gridSpan w:val="2"/>
            <w:vMerge/>
            <w:vAlign w:val="center"/>
          </w:tcPr>
          <w:p w:rsidR="00A43813" w:rsidRPr="00683EA7" w:rsidRDefault="00A43813" w:rsidP="00683EA7">
            <w:pPr>
              <w:spacing w:after="0" w:line="480" w:lineRule="auto"/>
              <w:rPr>
                <w:rFonts w:ascii="Times New Roman" w:eastAsia="Times New Roman" w:hAnsi="Times New Roman" w:cs="Times New Roman"/>
                <w:sz w:val="24"/>
                <w:szCs w:val="24"/>
              </w:rPr>
            </w:pPr>
          </w:p>
        </w:tc>
        <w:tc>
          <w:tcPr>
            <w:tcW w:w="1116" w:type="dxa"/>
            <w:vAlign w:val="center"/>
          </w:tcPr>
          <w:p w:rsidR="00A43813" w:rsidRPr="00683EA7" w:rsidRDefault="00A43813" w:rsidP="00683EA7">
            <w:pPr>
              <w:spacing w:after="0" w:line="480" w:lineRule="auto"/>
              <w:rPr>
                <w:rFonts w:ascii="Times New Roman" w:eastAsia="Times New Roman" w:hAnsi="Times New Roman" w:cs="Times New Roman"/>
                <w:sz w:val="24"/>
                <w:szCs w:val="24"/>
              </w:rPr>
            </w:pPr>
          </w:p>
        </w:tc>
      </w:tr>
    </w:tbl>
    <w:p w:rsidR="00614F88" w:rsidRPr="00683EA7" w:rsidRDefault="00FC5FFE" w:rsidP="00683EA7">
      <w:pPr>
        <w:spacing w:line="480" w:lineRule="auto"/>
        <w:ind w:firstLine="720"/>
        <w:rPr>
          <w:rFonts w:ascii="Times New Roman" w:hAnsi="Times New Roman" w:cs="Times New Roman"/>
          <w:sz w:val="24"/>
          <w:szCs w:val="24"/>
        </w:rPr>
      </w:pPr>
      <w:r w:rsidRPr="00683EA7">
        <w:rPr>
          <w:rFonts w:ascii="Times New Roman" w:hAnsi="Times New Roman" w:cs="Times New Roman"/>
          <w:sz w:val="24"/>
          <w:szCs w:val="24"/>
        </w:rPr>
        <w:lastRenderedPageBreak/>
        <w:t xml:space="preserve">Pfizer Inc. is the market leading company operating around the globe. The company is highly profitable with an excellent management team. The Debt ratio of the company is 59.2 percent which shows the company's equity financing is almost 40 percent while equity financing is </w:t>
      </w:r>
      <w:r w:rsidR="00683EA7" w:rsidRPr="00683EA7">
        <w:rPr>
          <w:rFonts w:ascii="Times New Roman" w:hAnsi="Times New Roman" w:cs="Times New Roman"/>
          <w:sz w:val="24"/>
          <w:szCs w:val="24"/>
        </w:rPr>
        <w:t xml:space="preserve">60 percent. The higher debt has both advantages and disadvantages. It could cause bankruptcy to the company. However, its benefit is a lower cost of debt financing as compared to equity financing. </w:t>
      </w:r>
      <w:r w:rsidRPr="00683EA7">
        <w:rPr>
          <w:rFonts w:ascii="Times New Roman" w:hAnsi="Times New Roman" w:cs="Times New Roman"/>
          <w:sz w:val="24"/>
          <w:szCs w:val="24"/>
        </w:rPr>
        <w:t>The Equity ratio shows that the company has lower equity than its assets. The 40.8 percent indicates that the company's equity financing is more economical than its assets, so the company has more debt financing. The company has the advantage in tax payment, and the cost of equity is always higher than debt</w:t>
      </w:r>
      <w:r w:rsidR="0026787F">
        <w:rPr>
          <w:rFonts w:ascii="Times New Roman" w:hAnsi="Times New Roman" w:cs="Times New Roman"/>
          <w:sz w:val="24"/>
          <w:szCs w:val="24"/>
        </w:rPr>
        <w:t xml:space="preserve"> (</w:t>
      </w:r>
      <w:r w:rsidR="0026787F">
        <w:rPr>
          <w:rFonts w:ascii="Times New Roman" w:hAnsi="Times New Roman" w:cs="Times New Roman"/>
          <w:color w:val="222222"/>
          <w:sz w:val="24"/>
          <w:szCs w:val="24"/>
          <w:shd w:val="clear" w:color="auto" w:fill="FFFFFF"/>
        </w:rPr>
        <w:t>Muritala &amp; Taiwo, 2018, p.117</w:t>
      </w:r>
      <w:r w:rsidR="0026787F">
        <w:rPr>
          <w:rFonts w:ascii="Times New Roman" w:hAnsi="Times New Roman" w:cs="Times New Roman"/>
          <w:sz w:val="24"/>
          <w:szCs w:val="24"/>
        </w:rPr>
        <w:t>)</w:t>
      </w:r>
      <w:r w:rsidRPr="00683EA7">
        <w:rPr>
          <w:rFonts w:ascii="Times New Roman" w:hAnsi="Times New Roman" w:cs="Times New Roman"/>
          <w:sz w:val="24"/>
          <w:szCs w:val="24"/>
        </w:rPr>
        <w:t xml:space="preserve">. </w:t>
      </w:r>
      <w:r w:rsidR="0026787F">
        <w:rPr>
          <w:rFonts w:ascii="Times New Roman" w:hAnsi="Times New Roman" w:cs="Times New Roman"/>
          <w:sz w:val="24"/>
          <w:szCs w:val="24"/>
        </w:rPr>
        <w:t>The more top time to equity ratio indicates that the company can pay its interest obligations due to higher earnings than the interest expense.</w:t>
      </w:r>
    </w:p>
    <w:p w:rsidR="00B04EDC" w:rsidRPr="00683EA7" w:rsidRDefault="00B04EDC" w:rsidP="00683EA7">
      <w:pPr>
        <w:spacing w:after="0" w:line="480" w:lineRule="auto"/>
        <w:rPr>
          <w:rFonts w:ascii="Times New Roman" w:eastAsia="Times New Roman" w:hAnsi="Times New Roman" w:cs="Times New Roman"/>
          <w:spacing w:val="3"/>
          <w:sz w:val="24"/>
          <w:szCs w:val="24"/>
        </w:rPr>
      </w:pPr>
    </w:p>
    <w:p w:rsidR="00B04EDC" w:rsidRPr="00683EA7" w:rsidRDefault="00B04EDC" w:rsidP="00683EA7">
      <w:pPr>
        <w:spacing w:after="0" w:line="480" w:lineRule="auto"/>
        <w:rPr>
          <w:rFonts w:ascii="Times New Roman" w:hAnsi="Times New Roman" w:cs="Times New Roman"/>
          <w:sz w:val="24"/>
          <w:szCs w:val="24"/>
        </w:rPr>
      </w:pPr>
    </w:p>
    <w:p w:rsidR="00C74D28" w:rsidRPr="00683EA7" w:rsidRDefault="00C74D28" w:rsidP="007C1C60">
      <w:pPr>
        <w:spacing w:after="0" w:line="480" w:lineRule="auto"/>
        <w:ind w:left="720" w:hanging="720"/>
        <w:rPr>
          <w:rFonts w:ascii="Times New Roman" w:hAnsi="Times New Roman" w:cs="Times New Roman"/>
          <w:sz w:val="24"/>
          <w:szCs w:val="24"/>
        </w:rPr>
      </w:pPr>
    </w:p>
    <w:p w:rsidR="0043102D" w:rsidRPr="00683EA7" w:rsidRDefault="0043102D" w:rsidP="007C1C60">
      <w:pPr>
        <w:spacing w:after="0" w:line="480" w:lineRule="auto"/>
        <w:ind w:left="720" w:hanging="720"/>
        <w:rPr>
          <w:rFonts w:ascii="Times New Roman" w:hAnsi="Times New Roman" w:cs="Times New Roman"/>
          <w:sz w:val="24"/>
          <w:szCs w:val="24"/>
        </w:rPr>
      </w:pPr>
    </w:p>
    <w:p w:rsidR="0043102D" w:rsidRPr="00683EA7" w:rsidRDefault="0043102D"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683EA7" w:rsidRDefault="00683EA7" w:rsidP="007C1C60">
      <w:pPr>
        <w:spacing w:after="0" w:line="480" w:lineRule="auto"/>
        <w:ind w:left="720" w:hanging="720"/>
        <w:rPr>
          <w:rFonts w:ascii="Times New Roman" w:hAnsi="Times New Roman" w:cs="Times New Roman"/>
          <w:sz w:val="24"/>
          <w:szCs w:val="24"/>
        </w:rPr>
      </w:pPr>
    </w:p>
    <w:p w:rsidR="0043102D" w:rsidRPr="00683EA7" w:rsidRDefault="00FC5FFE" w:rsidP="00683EA7">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References</w:t>
      </w:r>
    </w:p>
    <w:p w:rsidR="0026787F" w:rsidRPr="0026787F" w:rsidRDefault="00FC5FFE" w:rsidP="0026787F">
      <w:pPr>
        <w:ind w:left="720" w:hanging="720"/>
        <w:rPr>
          <w:rFonts w:ascii="Times New Roman" w:hAnsi="Times New Roman" w:cs="Times New Roman"/>
          <w:sz w:val="24"/>
          <w:szCs w:val="24"/>
        </w:rPr>
      </w:pPr>
      <w:r w:rsidRPr="0026787F">
        <w:rPr>
          <w:rFonts w:ascii="Times New Roman" w:hAnsi="Times New Roman" w:cs="Times New Roman"/>
          <w:color w:val="222222"/>
          <w:sz w:val="24"/>
          <w:szCs w:val="24"/>
          <w:shd w:val="clear" w:color="auto" w:fill="FFFFFF"/>
        </w:rPr>
        <w:t>Muritala, Taiwo Adewale. "An empirical analysis of capital structure on firms’ performance in Nigeria." </w:t>
      </w:r>
      <w:r w:rsidRPr="0026787F">
        <w:rPr>
          <w:rFonts w:ascii="Times New Roman" w:hAnsi="Times New Roman" w:cs="Times New Roman"/>
          <w:i/>
          <w:iCs/>
          <w:color w:val="222222"/>
          <w:sz w:val="24"/>
          <w:szCs w:val="24"/>
          <w:shd w:val="clear" w:color="auto" w:fill="FFFFFF"/>
        </w:rPr>
        <w:t>IJAME</w:t>
      </w:r>
      <w:r w:rsidRPr="0026787F">
        <w:rPr>
          <w:rFonts w:ascii="Times New Roman" w:hAnsi="Times New Roman" w:cs="Times New Roman"/>
          <w:color w:val="222222"/>
          <w:sz w:val="24"/>
          <w:szCs w:val="24"/>
          <w:shd w:val="clear" w:color="auto" w:fill="FFFFFF"/>
        </w:rPr>
        <w:t> (2018).</w:t>
      </w:r>
      <w:r>
        <w:rPr>
          <w:rFonts w:ascii="Times New Roman" w:hAnsi="Times New Roman" w:cs="Times New Roman"/>
          <w:color w:val="222222"/>
          <w:sz w:val="24"/>
          <w:szCs w:val="24"/>
          <w:shd w:val="clear" w:color="auto" w:fill="FFFFFF"/>
        </w:rPr>
        <w:t xml:space="preserve"> Vol. 1: 116:124</w:t>
      </w:r>
    </w:p>
    <w:p w:rsidR="0026787F" w:rsidRPr="0026787F" w:rsidRDefault="00FC5FFE" w:rsidP="0026787F">
      <w:pPr>
        <w:pStyle w:val="Heading4"/>
        <w:spacing w:before="0" w:line="360" w:lineRule="atLeast"/>
        <w:ind w:left="720" w:hanging="720"/>
        <w:rPr>
          <w:rFonts w:ascii="Times New Roman" w:hAnsi="Times New Roman" w:cs="Times New Roman"/>
          <w:bCs/>
          <w:color w:val="000000"/>
          <w:sz w:val="24"/>
          <w:szCs w:val="24"/>
        </w:rPr>
      </w:pPr>
      <w:r w:rsidRPr="0026787F">
        <w:rPr>
          <w:rFonts w:ascii="Times New Roman" w:hAnsi="Times New Roman" w:cs="Times New Roman"/>
          <w:bCs/>
          <w:color w:val="000000"/>
          <w:sz w:val="24"/>
          <w:szCs w:val="24"/>
        </w:rPr>
        <w:t>"Form 10-K." </w:t>
      </w:r>
      <w:r w:rsidRPr="0026787F">
        <w:rPr>
          <w:rFonts w:ascii="Times New Roman" w:hAnsi="Times New Roman" w:cs="Times New Roman"/>
          <w:bCs/>
          <w:i w:val="0"/>
          <w:iCs w:val="0"/>
          <w:color w:val="000000"/>
          <w:sz w:val="24"/>
          <w:szCs w:val="24"/>
        </w:rPr>
        <w:t>Sec.gov</w:t>
      </w:r>
      <w:r w:rsidRPr="0026787F">
        <w:rPr>
          <w:rFonts w:ascii="Times New Roman" w:hAnsi="Times New Roman" w:cs="Times New Roman"/>
          <w:bCs/>
          <w:color w:val="000000"/>
          <w:sz w:val="24"/>
          <w:szCs w:val="24"/>
        </w:rPr>
        <w:t>. N. p., 2019. Web. 18 Feb. 2019.</w:t>
      </w:r>
    </w:p>
    <w:p w:rsidR="0026787F" w:rsidRPr="0026787F" w:rsidRDefault="00FC5FFE" w:rsidP="0026787F">
      <w:pPr>
        <w:pStyle w:val="Heading4"/>
        <w:spacing w:before="0" w:line="360" w:lineRule="atLeast"/>
        <w:ind w:left="720" w:hanging="720"/>
        <w:rPr>
          <w:rFonts w:ascii="Times New Roman" w:hAnsi="Times New Roman" w:cs="Times New Roman"/>
          <w:bCs/>
          <w:color w:val="000000"/>
          <w:sz w:val="24"/>
          <w:szCs w:val="24"/>
        </w:rPr>
      </w:pPr>
      <w:r w:rsidRPr="0026787F">
        <w:rPr>
          <w:rFonts w:ascii="Times New Roman" w:hAnsi="Times New Roman" w:cs="Times New Roman"/>
          <w:bCs/>
          <w:i w:val="0"/>
          <w:iCs w:val="0"/>
          <w:color w:val="000000"/>
          <w:sz w:val="24"/>
          <w:szCs w:val="24"/>
        </w:rPr>
        <w:t>Pfizer.com</w:t>
      </w:r>
      <w:r w:rsidRPr="0026787F">
        <w:rPr>
          <w:rFonts w:ascii="Times New Roman" w:hAnsi="Times New Roman" w:cs="Times New Roman"/>
          <w:bCs/>
          <w:color w:val="000000"/>
          <w:sz w:val="24"/>
          <w:szCs w:val="24"/>
        </w:rPr>
        <w:t>. N. p., 2019. Web. 18 Feb. 2019.</w:t>
      </w:r>
    </w:p>
    <w:p w:rsidR="0026787F" w:rsidRPr="0026787F" w:rsidRDefault="0026787F" w:rsidP="0026787F"/>
    <w:p w:rsidR="0043102D" w:rsidRPr="00683EA7" w:rsidRDefault="0043102D" w:rsidP="007C1C60">
      <w:pPr>
        <w:spacing w:after="0" w:line="480" w:lineRule="auto"/>
        <w:ind w:left="720" w:hanging="720"/>
        <w:rPr>
          <w:rFonts w:ascii="Times New Roman" w:hAnsi="Times New Roman" w:cs="Times New Roman"/>
          <w:sz w:val="24"/>
          <w:szCs w:val="24"/>
        </w:rPr>
      </w:pPr>
    </w:p>
    <w:p w:rsidR="0043102D" w:rsidRPr="00683EA7" w:rsidRDefault="0043102D" w:rsidP="007C1C60">
      <w:pPr>
        <w:spacing w:after="0" w:line="480" w:lineRule="auto"/>
        <w:ind w:left="720" w:hanging="720"/>
        <w:rPr>
          <w:rFonts w:ascii="Times New Roman" w:hAnsi="Times New Roman" w:cs="Times New Roman"/>
          <w:sz w:val="24"/>
          <w:szCs w:val="24"/>
        </w:rPr>
      </w:pPr>
    </w:p>
    <w:p w:rsidR="0043102D" w:rsidRPr="00683EA7" w:rsidRDefault="0043102D" w:rsidP="007C1C60">
      <w:pPr>
        <w:spacing w:after="0" w:line="480" w:lineRule="auto"/>
        <w:ind w:left="720" w:hanging="720"/>
        <w:rPr>
          <w:rFonts w:ascii="Times New Roman" w:hAnsi="Times New Roman" w:cs="Times New Roman"/>
          <w:sz w:val="24"/>
          <w:szCs w:val="24"/>
        </w:rPr>
      </w:pPr>
    </w:p>
    <w:p w:rsidR="0043102D" w:rsidRPr="00683EA7" w:rsidRDefault="0043102D" w:rsidP="007C1C60">
      <w:pPr>
        <w:spacing w:after="0" w:line="480" w:lineRule="auto"/>
        <w:ind w:left="720" w:hanging="720"/>
        <w:rPr>
          <w:rFonts w:ascii="Times New Roman" w:hAnsi="Times New Roman" w:cs="Times New Roman"/>
          <w:sz w:val="24"/>
          <w:szCs w:val="24"/>
        </w:rPr>
      </w:pPr>
    </w:p>
    <w:p w:rsidR="0043102D" w:rsidRPr="00683EA7" w:rsidRDefault="0043102D" w:rsidP="007C1C60">
      <w:pPr>
        <w:spacing w:after="0" w:line="480" w:lineRule="auto"/>
        <w:ind w:left="720" w:hanging="720"/>
        <w:rPr>
          <w:rFonts w:ascii="Times New Roman" w:hAnsi="Times New Roman" w:cs="Times New Roman"/>
          <w:sz w:val="24"/>
          <w:szCs w:val="24"/>
        </w:rPr>
      </w:pPr>
    </w:p>
    <w:p w:rsidR="0043102D" w:rsidRPr="00683EA7" w:rsidRDefault="0043102D" w:rsidP="007C1C60">
      <w:pPr>
        <w:spacing w:after="0" w:line="480" w:lineRule="auto"/>
        <w:ind w:left="720" w:hanging="720"/>
        <w:rPr>
          <w:rFonts w:ascii="Times New Roman" w:hAnsi="Times New Roman" w:cs="Times New Roman"/>
          <w:sz w:val="24"/>
          <w:szCs w:val="24"/>
        </w:rPr>
      </w:pPr>
    </w:p>
    <w:p w:rsidR="0043102D" w:rsidRPr="00683EA7"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Default="0043102D" w:rsidP="007C1C60">
      <w:pPr>
        <w:spacing w:after="0" w:line="480" w:lineRule="auto"/>
        <w:ind w:left="720" w:hanging="720"/>
        <w:rPr>
          <w:rFonts w:ascii="Times New Roman" w:hAnsi="Times New Roman" w:cs="Times New Roman"/>
          <w:sz w:val="24"/>
          <w:szCs w:val="24"/>
        </w:rPr>
      </w:pPr>
    </w:p>
    <w:p w:rsidR="0043102D" w:rsidRPr="0008177B" w:rsidRDefault="0043102D" w:rsidP="007C1C60">
      <w:pPr>
        <w:spacing w:after="0" w:line="480" w:lineRule="auto"/>
        <w:ind w:left="720" w:hanging="720"/>
        <w:rPr>
          <w:rFonts w:ascii="Times New Roman" w:hAnsi="Times New Roman" w:cs="Times New Roman"/>
          <w:sz w:val="24"/>
          <w:szCs w:val="24"/>
        </w:rPr>
      </w:pPr>
    </w:p>
    <w:sectPr w:rsidR="0043102D" w:rsidRPr="0008177B" w:rsidSect="005B734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AD" w:rsidRDefault="008A21AD">
      <w:pPr>
        <w:spacing w:after="0" w:line="240" w:lineRule="auto"/>
      </w:pPr>
      <w:r>
        <w:separator/>
      </w:r>
    </w:p>
  </w:endnote>
  <w:endnote w:type="continuationSeparator" w:id="0">
    <w:p w:rsidR="008A21AD" w:rsidRDefault="008A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AD" w:rsidRDefault="008A21AD">
      <w:pPr>
        <w:spacing w:after="0" w:line="240" w:lineRule="auto"/>
      </w:pPr>
      <w:r>
        <w:separator/>
      </w:r>
    </w:p>
  </w:footnote>
  <w:footnote w:type="continuationSeparator" w:id="0">
    <w:p w:rsidR="008A21AD" w:rsidRDefault="008A2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FC5FF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41B25">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FC5FF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41B2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52DFC"/>
    <w:multiLevelType w:val="multilevel"/>
    <w:tmpl w:val="A8BE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E3CD5"/>
    <w:rsid w:val="00102F66"/>
    <w:rsid w:val="00141074"/>
    <w:rsid w:val="001851BB"/>
    <w:rsid w:val="00187C02"/>
    <w:rsid w:val="00196F4A"/>
    <w:rsid w:val="001B6D1C"/>
    <w:rsid w:val="002260FC"/>
    <w:rsid w:val="0023736C"/>
    <w:rsid w:val="002464F0"/>
    <w:rsid w:val="00267851"/>
    <w:rsid w:val="0026787F"/>
    <w:rsid w:val="00271F3A"/>
    <w:rsid w:val="002777E7"/>
    <w:rsid w:val="002905DA"/>
    <w:rsid w:val="0029785A"/>
    <w:rsid w:val="002C01EB"/>
    <w:rsid w:val="003631D0"/>
    <w:rsid w:val="003A7CF0"/>
    <w:rsid w:val="003C2B45"/>
    <w:rsid w:val="0041117F"/>
    <w:rsid w:val="0042772C"/>
    <w:rsid w:val="0043102D"/>
    <w:rsid w:val="0046768F"/>
    <w:rsid w:val="00471063"/>
    <w:rsid w:val="00473F69"/>
    <w:rsid w:val="00480E73"/>
    <w:rsid w:val="00486614"/>
    <w:rsid w:val="004875A4"/>
    <w:rsid w:val="004D4892"/>
    <w:rsid w:val="00523FD8"/>
    <w:rsid w:val="00542899"/>
    <w:rsid w:val="00550EFD"/>
    <w:rsid w:val="00551AC0"/>
    <w:rsid w:val="0055449E"/>
    <w:rsid w:val="00567414"/>
    <w:rsid w:val="005A1A77"/>
    <w:rsid w:val="005B4153"/>
    <w:rsid w:val="005B734B"/>
    <w:rsid w:val="005C20F1"/>
    <w:rsid w:val="005E1545"/>
    <w:rsid w:val="00604ED5"/>
    <w:rsid w:val="0061376A"/>
    <w:rsid w:val="00614F88"/>
    <w:rsid w:val="00683EA7"/>
    <w:rsid w:val="0069201E"/>
    <w:rsid w:val="006F3B7C"/>
    <w:rsid w:val="007065B5"/>
    <w:rsid w:val="007C1C60"/>
    <w:rsid w:val="007D4A55"/>
    <w:rsid w:val="00812A71"/>
    <w:rsid w:val="00836FB6"/>
    <w:rsid w:val="008A21AD"/>
    <w:rsid w:val="008A6D60"/>
    <w:rsid w:val="008B3B75"/>
    <w:rsid w:val="00923802"/>
    <w:rsid w:val="00941495"/>
    <w:rsid w:val="00950EDA"/>
    <w:rsid w:val="00997E30"/>
    <w:rsid w:val="009E657E"/>
    <w:rsid w:val="009F5BB9"/>
    <w:rsid w:val="00A16E13"/>
    <w:rsid w:val="00A4374D"/>
    <w:rsid w:val="00A43813"/>
    <w:rsid w:val="00A61F80"/>
    <w:rsid w:val="00B04EDC"/>
    <w:rsid w:val="00B22BC7"/>
    <w:rsid w:val="00B338A5"/>
    <w:rsid w:val="00B405F9"/>
    <w:rsid w:val="00B73412"/>
    <w:rsid w:val="00B750C1"/>
    <w:rsid w:val="00B91A6D"/>
    <w:rsid w:val="00BC6300"/>
    <w:rsid w:val="00C5356B"/>
    <w:rsid w:val="00C55324"/>
    <w:rsid w:val="00C74D28"/>
    <w:rsid w:val="00C75C92"/>
    <w:rsid w:val="00C8278A"/>
    <w:rsid w:val="00C94C2C"/>
    <w:rsid w:val="00CA2688"/>
    <w:rsid w:val="00CC7070"/>
    <w:rsid w:val="00CE387A"/>
    <w:rsid w:val="00CF0A51"/>
    <w:rsid w:val="00D04A23"/>
    <w:rsid w:val="00D14070"/>
    <w:rsid w:val="00D235CB"/>
    <w:rsid w:val="00D451E7"/>
    <w:rsid w:val="00D5076D"/>
    <w:rsid w:val="00D5779E"/>
    <w:rsid w:val="00D6690F"/>
    <w:rsid w:val="00D74986"/>
    <w:rsid w:val="00D923BB"/>
    <w:rsid w:val="00E371D6"/>
    <w:rsid w:val="00E41B25"/>
    <w:rsid w:val="00E63809"/>
    <w:rsid w:val="00E96917"/>
    <w:rsid w:val="00EB5449"/>
    <w:rsid w:val="00EC0F35"/>
    <w:rsid w:val="00EF1641"/>
    <w:rsid w:val="00F00E96"/>
    <w:rsid w:val="00F42017"/>
    <w:rsid w:val="00FA57B9"/>
    <w:rsid w:val="00FC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78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631D0"/>
    <w:rPr>
      <w:color w:val="0000FF" w:themeColor="hyperlink"/>
      <w:u w:val="single"/>
    </w:rPr>
  </w:style>
  <w:style w:type="character" w:customStyle="1" w:styleId="Heading4Char">
    <w:name w:val="Heading 4 Char"/>
    <w:basedOn w:val="DefaultParagraphFont"/>
    <w:link w:val="Heading4"/>
    <w:uiPriority w:val="9"/>
    <w:semiHidden/>
    <w:rsid w:val="0026787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ors.pfizer.com/financials/sec-filings/sec-filings-details/default.aspx?FilingId=125715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fi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4980-35FE-4026-80BA-DB9D8D2A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 3</cp:lastModifiedBy>
  <cp:revision>3</cp:revision>
  <dcterms:created xsi:type="dcterms:W3CDTF">2019-02-18T02:44:00Z</dcterms:created>
  <dcterms:modified xsi:type="dcterms:W3CDTF">2019-02-18T02:59:00Z</dcterms:modified>
</cp:coreProperties>
</file>