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EC28A3" w14:textId="77777777" w:rsidR="002C0F2C" w:rsidRDefault="002C0F2C" w:rsidP="002C0F2C">
      <w:pPr>
        <w:spacing w:line="480" w:lineRule="auto"/>
        <w:jc w:val="center"/>
      </w:pPr>
    </w:p>
    <w:p w14:paraId="34DFBF52" w14:textId="77777777" w:rsidR="002C0F2C" w:rsidRDefault="002C0F2C" w:rsidP="002C0F2C">
      <w:pPr>
        <w:spacing w:line="480" w:lineRule="auto"/>
        <w:jc w:val="center"/>
      </w:pPr>
    </w:p>
    <w:p w14:paraId="06BB78EC" w14:textId="77777777" w:rsidR="002C0F2C" w:rsidRDefault="002C0F2C" w:rsidP="002C0F2C">
      <w:pPr>
        <w:spacing w:line="480" w:lineRule="auto"/>
        <w:jc w:val="center"/>
      </w:pPr>
    </w:p>
    <w:p w14:paraId="611A97D3" w14:textId="77777777" w:rsidR="002C0F2C" w:rsidRDefault="002C0F2C" w:rsidP="002C0F2C">
      <w:pPr>
        <w:spacing w:line="480" w:lineRule="auto"/>
        <w:jc w:val="center"/>
      </w:pPr>
    </w:p>
    <w:p w14:paraId="543F6C4B" w14:textId="77777777" w:rsidR="002C0F2C" w:rsidRDefault="002C0F2C" w:rsidP="002C0F2C">
      <w:pPr>
        <w:spacing w:line="480" w:lineRule="auto"/>
        <w:jc w:val="center"/>
      </w:pPr>
    </w:p>
    <w:p w14:paraId="202A4FA4" w14:textId="77777777" w:rsidR="004F3E88" w:rsidRDefault="002C0F2C" w:rsidP="002C0F2C">
      <w:pPr>
        <w:spacing w:line="480" w:lineRule="auto"/>
        <w:jc w:val="center"/>
      </w:pPr>
      <w:r>
        <w:t>Title page</w:t>
      </w:r>
    </w:p>
    <w:p w14:paraId="123E0A9E" w14:textId="77777777" w:rsidR="00A25175" w:rsidRDefault="002C0F2C" w:rsidP="002C0F2C">
      <w:pPr>
        <w:spacing w:line="480" w:lineRule="auto"/>
        <w:jc w:val="center"/>
      </w:pPr>
      <w:r>
        <w:t>Organizational policies and practices</w:t>
      </w:r>
    </w:p>
    <w:p w14:paraId="712A002D" w14:textId="77777777" w:rsidR="00A25175" w:rsidRDefault="00A25175">
      <w:r>
        <w:br w:type="page"/>
      </w:r>
    </w:p>
    <w:p w14:paraId="7355A1B3" w14:textId="02B5A81C" w:rsidR="002C0F2C" w:rsidRDefault="00A25175" w:rsidP="00A25175">
      <w:pPr>
        <w:spacing w:line="480" w:lineRule="auto"/>
        <w:ind w:firstLine="720"/>
        <w:jc w:val="both"/>
        <w:rPr>
          <w:rFonts w:ascii="Times New Roman" w:hAnsi="Times New Roman" w:cs="Times New Roman"/>
        </w:rPr>
      </w:pPr>
      <w:r w:rsidRPr="00661578">
        <w:rPr>
          <w:rFonts w:ascii="Times New Roman" w:hAnsi="Times New Roman" w:cs="Times New Roman"/>
        </w:rPr>
        <w:lastRenderedPageBreak/>
        <w:t xml:space="preserve">I agree with the views of Maureen </w:t>
      </w:r>
      <w:r w:rsidR="00661578">
        <w:rPr>
          <w:rFonts w:ascii="Times New Roman" w:hAnsi="Times New Roman" w:cs="Times New Roman"/>
        </w:rPr>
        <w:t>because extra workload impacts the efficiency of the physicians. I think it is not appropriate to limit size of physicians for saving costs. Healthcare institutes must hire adequate physicians and doctors that will minimize stress related issues. Under pressure, doctors are not able to work with dedication because they are tired. The chances of committing errors in medication, diagnos</w:t>
      </w:r>
      <w:r w:rsidR="00AC5DC5">
        <w:rPr>
          <w:rFonts w:ascii="Times New Roman" w:hAnsi="Times New Roman" w:cs="Times New Roman"/>
        </w:rPr>
        <w:t xml:space="preserve">is and treatment are also high (Coventry et al., 2017). </w:t>
      </w:r>
      <w:r w:rsidR="00A764B5">
        <w:rPr>
          <w:rFonts w:ascii="Times New Roman" w:hAnsi="Times New Roman" w:cs="Times New Roman"/>
        </w:rPr>
        <w:t xml:space="preserve">I think doctors should not be enforced to work more than the standard time. This will undermine their quality of work and also threaten life of patients. </w:t>
      </w:r>
    </w:p>
    <w:p w14:paraId="062FB47F" w14:textId="0A8746D9" w:rsidR="006C041F" w:rsidRDefault="00661578" w:rsidP="00A25175">
      <w:pPr>
        <w:spacing w:line="480" w:lineRule="auto"/>
        <w:ind w:firstLine="720"/>
        <w:jc w:val="both"/>
        <w:rPr>
          <w:rFonts w:ascii="Times New Roman" w:hAnsi="Times New Roman" w:cs="Times New Roman"/>
        </w:rPr>
      </w:pPr>
      <w:r>
        <w:rPr>
          <w:rFonts w:ascii="Times New Roman" w:hAnsi="Times New Roman" w:cs="Times New Roman"/>
        </w:rPr>
        <w:t>I believe that Nurse Practitioner Modernization Act is an effective step for addressing the issue of extra workload on physicians. By allowing nurses to practice as clinicians and dietitians they can help hospitals to ov</w:t>
      </w:r>
      <w:r w:rsidR="00AC5DC5">
        <w:rPr>
          <w:rFonts w:ascii="Times New Roman" w:hAnsi="Times New Roman" w:cs="Times New Roman"/>
        </w:rPr>
        <w:t xml:space="preserve">ercome the shortage of doctors (Dahmen et al., 2015). </w:t>
      </w:r>
      <w:r w:rsidR="00F86A08">
        <w:rPr>
          <w:rFonts w:ascii="Times New Roman" w:hAnsi="Times New Roman" w:cs="Times New Roman"/>
        </w:rPr>
        <w:t xml:space="preserve">This step could improve efficiency because several measures can be adopted that ensure the administration of proper healthcare procedures. Clinics and hospitals can </w:t>
      </w:r>
      <w:r w:rsidR="00A764B5">
        <w:rPr>
          <w:rFonts w:ascii="Times New Roman" w:hAnsi="Times New Roman" w:cs="Times New Roman"/>
        </w:rPr>
        <w:t xml:space="preserve">provide training to the nurses for taking efficient role as physicians. By developing skills they would learn to handle patients in high turnover (Blazek, 2015). </w:t>
      </w:r>
    </w:p>
    <w:p w14:paraId="66623254" w14:textId="24ECD702" w:rsidR="00EB6870" w:rsidRDefault="00EB6870" w:rsidP="00A25175">
      <w:pPr>
        <w:spacing w:line="480" w:lineRule="auto"/>
        <w:ind w:firstLine="720"/>
        <w:jc w:val="both"/>
        <w:rPr>
          <w:rFonts w:ascii="Times New Roman" w:hAnsi="Times New Roman" w:cs="Times New Roman"/>
        </w:rPr>
      </w:pPr>
      <w:r>
        <w:rPr>
          <w:rFonts w:ascii="Times New Roman" w:hAnsi="Times New Roman" w:cs="Times New Roman"/>
        </w:rPr>
        <w:t xml:space="preserve">I think states should take initiative of preparing adequate nurse practitioners who can replace physicians. They must be trained for sometime like 1 year under supervision of experts before taking independent role (Philpot, 2013). </w:t>
      </w:r>
      <w:r w:rsidR="00FA46A9">
        <w:rPr>
          <w:rFonts w:ascii="Times New Roman" w:hAnsi="Times New Roman" w:cs="Times New Roman"/>
        </w:rPr>
        <w:t xml:space="preserve">Another important strategy for managing stress of doctors include implementation of the stress management programs. This will give guidance to the doctors and staff for overcoming stress. Physician burnout can be reduced by limiting work hours and providing flexible arrangements. Creation of wellness toolbox is another effective strategy for preventing burnout. By establishing positive culture of teamwork stressors can be removed that will improve overall work efficiency. </w:t>
      </w:r>
      <w:bookmarkStart w:id="0" w:name="_GoBack"/>
      <w:bookmarkEnd w:id="0"/>
    </w:p>
    <w:p w14:paraId="0103D993" w14:textId="77777777" w:rsidR="006C041F" w:rsidRDefault="006C041F">
      <w:pPr>
        <w:rPr>
          <w:rFonts w:ascii="Times New Roman" w:hAnsi="Times New Roman" w:cs="Times New Roman"/>
        </w:rPr>
      </w:pPr>
      <w:r>
        <w:rPr>
          <w:rFonts w:ascii="Times New Roman" w:hAnsi="Times New Roman" w:cs="Times New Roman"/>
        </w:rPr>
        <w:br w:type="page"/>
      </w:r>
    </w:p>
    <w:p w14:paraId="0BBE9C2B" w14:textId="77777777" w:rsidR="006C041F" w:rsidRDefault="006C041F" w:rsidP="006C041F">
      <w:pPr>
        <w:spacing w:line="480" w:lineRule="auto"/>
        <w:ind w:firstLine="720"/>
        <w:jc w:val="center"/>
        <w:rPr>
          <w:rFonts w:asciiTheme="majorHAnsi" w:eastAsiaTheme="majorEastAsia" w:hAnsiTheme="majorHAnsi" w:cstheme="majorBidi"/>
          <w:b/>
          <w:bCs/>
          <w:color w:val="365F91" w:themeColor="accent1" w:themeShade="BF"/>
          <w:sz w:val="28"/>
          <w:szCs w:val="28"/>
          <w:lang w:bidi="en-US"/>
        </w:rPr>
      </w:pPr>
      <w:r>
        <w:rPr>
          <w:rFonts w:ascii="Times New Roman" w:hAnsi="Times New Roman" w:cs="Times New Roman"/>
        </w:rPr>
        <w:t>References</w:t>
      </w:r>
    </w:p>
    <w:sdt>
      <w:sdtPr>
        <w:id w:val="111145805"/>
        <w:bibliography/>
      </w:sdtPr>
      <w:sdtContent>
        <w:p w14:paraId="74AD22F5" w14:textId="77777777" w:rsidR="006C041F" w:rsidRDefault="006C041F" w:rsidP="00AC5DC5">
          <w:pPr>
            <w:pStyle w:val="Bibliography"/>
            <w:spacing w:line="480" w:lineRule="auto"/>
            <w:ind w:left="864" w:hanging="720"/>
            <w:rPr>
              <w:noProof/>
            </w:rPr>
          </w:pPr>
          <w:r>
            <w:fldChar w:fldCharType="begin"/>
          </w:r>
          <w:r>
            <w:instrText xml:space="preserve"> BIBLIOGRAPHY </w:instrText>
          </w:r>
          <w:r>
            <w:fldChar w:fldCharType="separate"/>
          </w:r>
          <w:r>
            <w:rPr>
              <w:noProof/>
            </w:rPr>
            <w:t xml:space="preserve">Coventry, L. L., Pickles, S., Sin, M., Towell, A., Giles, M., Murray, K., et al. (2017). Impact of the Orthopaedic Nurse Practitioner role on acute hospital length of stay and cost‐savings for patients with hip fracture: A retrospective cohort study. </w:t>
          </w:r>
          <w:r>
            <w:rPr>
              <w:i/>
              <w:iCs/>
              <w:noProof/>
            </w:rPr>
            <w:t>JAN</w:t>
          </w:r>
          <w:r>
            <w:rPr>
              <w:noProof/>
            </w:rPr>
            <w:t xml:space="preserve"> </w:t>
          </w:r>
          <w:r>
            <w:rPr>
              <w:i/>
              <w:iCs/>
              <w:noProof/>
            </w:rPr>
            <w:t>, 731</w:t>
          </w:r>
          <w:r>
            <w:rPr>
              <w:noProof/>
            </w:rPr>
            <w:t xml:space="preserve"> (11).</w:t>
          </w:r>
        </w:p>
        <w:p w14:paraId="31230871" w14:textId="77777777" w:rsidR="006C041F" w:rsidRDefault="006C041F" w:rsidP="00AC5DC5">
          <w:pPr>
            <w:pStyle w:val="Bibliography"/>
            <w:spacing w:line="480" w:lineRule="auto"/>
            <w:ind w:left="864" w:hanging="720"/>
            <w:rPr>
              <w:noProof/>
            </w:rPr>
          </w:pPr>
          <w:r>
            <w:rPr>
              <w:noProof/>
            </w:rPr>
            <w:t xml:space="preserve">Been-Dahmen, J. M., Hazes, J. D., Staa, A., &amp; Ista, E. (2015). Nurses' views on patient self-management: a qualitative study. . </w:t>
          </w:r>
          <w:r>
            <w:rPr>
              <w:i/>
              <w:iCs/>
              <w:noProof/>
            </w:rPr>
            <w:t>J Adv Nurs</w:t>
          </w:r>
          <w:r>
            <w:rPr>
              <w:noProof/>
            </w:rPr>
            <w:t xml:space="preserve"> </w:t>
          </w:r>
          <w:r>
            <w:rPr>
              <w:i/>
              <w:iCs/>
              <w:noProof/>
            </w:rPr>
            <w:t>, 71</w:t>
          </w:r>
          <w:r>
            <w:rPr>
              <w:noProof/>
            </w:rPr>
            <w:t xml:space="preserve"> (12), 2834-45.</w:t>
          </w:r>
        </w:p>
        <w:p w14:paraId="28079F35" w14:textId="77777777" w:rsidR="006C041F" w:rsidRDefault="006C041F" w:rsidP="00AC5DC5">
          <w:pPr>
            <w:pStyle w:val="Bibliography"/>
            <w:spacing w:line="480" w:lineRule="auto"/>
            <w:ind w:left="864" w:hanging="720"/>
            <w:rPr>
              <w:noProof/>
            </w:rPr>
          </w:pPr>
          <w:r>
            <w:rPr>
              <w:noProof/>
            </w:rPr>
            <w:t xml:space="preserve">Blazek, N. (2015). NPs important leaders for evidence-based practice, improving patient outcomes. </w:t>
          </w:r>
          <w:r>
            <w:rPr>
              <w:i/>
              <w:iCs/>
              <w:noProof/>
            </w:rPr>
            <w:t>NAPNAP</w:t>
          </w:r>
          <w:r>
            <w:rPr>
              <w:noProof/>
            </w:rPr>
            <w:t xml:space="preserve"> .</w:t>
          </w:r>
        </w:p>
        <w:p w14:paraId="47738B05" w14:textId="77777777" w:rsidR="006C041F" w:rsidRDefault="006C041F" w:rsidP="00AC5DC5">
          <w:pPr>
            <w:pStyle w:val="Bibliography"/>
            <w:spacing w:line="480" w:lineRule="auto"/>
            <w:ind w:left="864" w:hanging="720"/>
            <w:rPr>
              <w:noProof/>
            </w:rPr>
          </w:pPr>
          <w:r>
            <w:rPr>
              <w:noProof/>
            </w:rPr>
            <w:t xml:space="preserve">McCleery, E., Christensen, V., Peterson, K., Humphrey, L., &amp; Helfand, M. (2014). Evidence Brief: The Quality of Care Provided by Advanced Practice Nurses. . </w:t>
          </w:r>
          <w:r>
            <w:rPr>
              <w:i/>
              <w:iCs/>
              <w:noProof/>
            </w:rPr>
            <w:t>PubMed</w:t>
          </w:r>
          <w:r>
            <w:rPr>
              <w:noProof/>
            </w:rPr>
            <w:t xml:space="preserve"> .</w:t>
          </w:r>
        </w:p>
        <w:p w14:paraId="36A925B2" w14:textId="77777777" w:rsidR="006C041F" w:rsidRDefault="006C041F" w:rsidP="00AC5DC5">
          <w:pPr>
            <w:pStyle w:val="Bibliography"/>
            <w:spacing w:line="480" w:lineRule="auto"/>
            <w:ind w:left="864" w:hanging="720"/>
            <w:rPr>
              <w:noProof/>
            </w:rPr>
          </w:pPr>
          <w:r>
            <w:rPr>
              <w:noProof/>
            </w:rPr>
            <w:t xml:space="preserve">Philpot, C., Tolson, D., &amp; Morley, J. E. (2013). Advanced practice nurses and attending physicians: a collaboration to improve quality of care in the nursing home. </w:t>
          </w:r>
          <w:r>
            <w:rPr>
              <w:i/>
              <w:iCs/>
              <w:noProof/>
            </w:rPr>
            <w:t>ournal of the American Medical Directors Associtaion</w:t>
          </w:r>
          <w:r>
            <w:rPr>
              <w:noProof/>
            </w:rPr>
            <w:t xml:space="preserve"> .</w:t>
          </w:r>
        </w:p>
        <w:p w14:paraId="5CCEEA43" w14:textId="77777777" w:rsidR="00AC5DC5" w:rsidRDefault="006C041F" w:rsidP="00AC5DC5">
          <w:pPr>
            <w:spacing w:line="480" w:lineRule="auto"/>
            <w:ind w:left="864" w:hanging="720"/>
            <w:jc w:val="center"/>
          </w:pPr>
          <w:r>
            <w:rPr>
              <w:b/>
              <w:bCs/>
              <w:noProof/>
            </w:rPr>
            <w:fldChar w:fldCharType="end"/>
          </w:r>
        </w:p>
      </w:sdtContent>
    </w:sdt>
    <w:p w14:paraId="115F7C09" w14:textId="2A175970" w:rsidR="006C041F" w:rsidRPr="00AC5DC5" w:rsidRDefault="006C041F" w:rsidP="00AC5DC5">
      <w:pPr>
        <w:spacing w:line="480" w:lineRule="auto"/>
        <w:ind w:left="864" w:hanging="720"/>
        <w:jc w:val="center"/>
      </w:pPr>
      <w:r w:rsidRPr="004B347E">
        <w:rPr>
          <w:rFonts w:eastAsia="Times New Roman" w:cs="Times New Roman"/>
          <w:color w:val="000000"/>
          <w:shd w:val="clear" w:color="auto" w:fill="FFFFFF"/>
        </w:rPr>
        <w:t>Schnall</w:t>
      </w:r>
      <w:r w:rsidRPr="00245B2E">
        <w:rPr>
          <w:rFonts w:eastAsia="Times New Roman" w:cs="Times New Roman"/>
          <w:color w:val="000000"/>
          <w:shd w:val="clear" w:color="auto" w:fill="FFFFFF"/>
        </w:rPr>
        <w:t>,</w:t>
      </w:r>
      <w:r w:rsidRPr="004B347E">
        <w:rPr>
          <w:rFonts w:eastAsia="Times New Roman" w:cs="Times New Roman"/>
          <w:color w:val="000000"/>
          <w:shd w:val="clear" w:color="auto" w:fill="FFFFFF"/>
        </w:rPr>
        <w:t xml:space="preserve"> P</w:t>
      </w:r>
      <w:r w:rsidRPr="00245B2E">
        <w:rPr>
          <w:rFonts w:eastAsia="Times New Roman" w:cs="Times New Roman"/>
          <w:color w:val="000000"/>
          <w:shd w:val="clear" w:color="auto" w:fill="FFFFFF"/>
        </w:rPr>
        <w:t>.</w:t>
      </w:r>
      <w:r w:rsidRPr="004B347E">
        <w:rPr>
          <w:rFonts w:eastAsia="Times New Roman" w:cs="Times New Roman"/>
          <w:color w:val="000000"/>
          <w:shd w:val="clear" w:color="auto" w:fill="FFFFFF"/>
        </w:rPr>
        <w:t>, Belkic</w:t>
      </w:r>
      <w:r w:rsidRPr="00245B2E">
        <w:rPr>
          <w:rFonts w:eastAsia="Times New Roman" w:cs="Times New Roman"/>
          <w:color w:val="000000"/>
          <w:shd w:val="clear" w:color="auto" w:fill="FFFFFF"/>
        </w:rPr>
        <w:t>,</w:t>
      </w:r>
      <w:r w:rsidRPr="004B347E">
        <w:rPr>
          <w:rFonts w:eastAsia="Times New Roman" w:cs="Times New Roman"/>
          <w:color w:val="000000"/>
          <w:shd w:val="clear" w:color="auto" w:fill="FFFFFF"/>
        </w:rPr>
        <w:t xml:space="preserve"> K</w:t>
      </w:r>
      <w:r w:rsidRPr="00245B2E">
        <w:rPr>
          <w:rFonts w:eastAsia="Times New Roman" w:cs="Times New Roman"/>
          <w:color w:val="000000"/>
          <w:shd w:val="clear" w:color="auto" w:fill="FFFFFF"/>
        </w:rPr>
        <w:t>.</w:t>
      </w:r>
      <w:r w:rsidRPr="004B347E">
        <w:rPr>
          <w:rFonts w:eastAsia="Times New Roman" w:cs="Times New Roman"/>
          <w:color w:val="000000"/>
          <w:shd w:val="clear" w:color="auto" w:fill="FFFFFF"/>
        </w:rPr>
        <w:t>, Pickering</w:t>
      </w:r>
      <w:r w:rsidRPr="00245B2E">
        <w:rPr>
          <w:rFonts w:eastAsia="Times New Roman" w:cs="Times New Roman"/>
          <w:color w:val="000000"/>
          <w:shd w:val="clear" w:color="auto" w:fill="FFFFFF"/>
        </w:rPr>
        <w:t>,</w:t>
      </w:r>
      <w:r w:rsidRPr="004B347E">
        <w:rPr>
          <w:rFonts w:eastAsia="Times New Roman" w:cs="Times New Roman"/>
          <w:color w:val="000000"/>
          <w:shd w:val="clear" w:color="auto" w:fill="FFFFFF"/>
        </w:rPr>
        <w:t xml:space="preserve"> TG. </w:t>
      </w:r>
      <w:r w:rsidRPr="00245B2E">
        <w:rPr>
          <w:rFonts w:eastAsia="Times New Roman" w:cs="Times New Roman"/>
          <w:color w:val="000000"/>
          <w:shd w:val="clear" w:color="auto" w:fill="FFFFFF"/>
        </w:rPr>
        <w:t xml:space="preserve">(2000). </w:t>
      </w:r>
      <w:r w:rsidRPr="004B347E">
        <w:rPr>
          <w:rFonts w:eastAsia="Times New Roman" w:cs="Times New Roman"/>
          <w:color w:val="000000"/>
          <w:shd w:val="clear" w:color="auto" w:fill="FFFFFF"/>
        </w:rPr>
        <w:t>Assessment of cardiovascular system at the workplace. </w:t>
      </w:r>
      <w:r w:rsidRPr="00FC38F4">
        <w:rPr>
          <w:rFonts w:eastAsia="Times New Roman" w:cs="Times New Roman"/>
          <w:i/>
          <w:color w:val="000000"/>
          <w:shd w:val="clear" w:color="auto" w:fill="FFFFFF"/>
        </w:rPr>
        <w:t>Occupational Medicine</w:t>
      </w:r>
      <w:r w:rsidRPr="00245B2E">
        <w:rPr>
          <w:rFonts w:eastAsia="Times New Roman" w:cs="Times New Roman"/>
          <w:color w:val="000000"/>
          <w:shd w:val="clear" w:color="auto" w:fill="FFFFFF"/>
        </w:rPr>
        <w:t>, 15</w:t>
      </w:r>
      <w:r>
        <w:rPr>
          <w:rFonts w:eastAsia="Times New Roman" w:cs="Times New Roman"/>
          <w:color w:val="000000"/>
          <w:shd w:val="clear" w:color="auto" w:fill="FFFFFF"/>
        </w:rPr>
        <w:t xml:space="preserve">(1), </w:t>
      </w:r>
      <w:r w:rsidRPr="004B347E">
        <w:rPr>
          <w:rFonts w:eastAsia="Times New Roman" w:cs="Times New Roman"/>
          <w:color w:val="000000"/>
          <w:shd w:val="clear" w:color="auto" w:fill="FFFFFF"/>
        </w:rPr>
        <w:t>189–212.</w:t>
      </w:r>
    </w:p>
    <w:p w14:paraId="17261141" w14:textId="77777777" w:rsidR="006C041F" w:rsidRPr="00245B2E" w:rsidRDefault="006C041F" w:rsidP="00AC5DC5">
      <w:pPr>
        <w:shd w:val="clear" w:color="auto" w:fill="FFFFFF"/>
        <w:spacing w:line="480" w:lineRule="auto"/>
        <w:ind w:left="864" w:right="75" w:hanging="720"/>
        <w:rPr>
          <w:rFonts w:eastAsia="Times New Roman" w:cs="Times New Roman"/>
          <w:color w:val="000000"/>
          <w:lang w:val="en-AU" w:eastAsia="en-AU"/>
        </w:rPr>
      </w:pPr>
    </w:p>
    <w:p w14:paraId="2A70B5FE" w14:textId="77777777" w:rsidR="006C041F" w:rsidRPr="00245B2E" w:rsidRDefault="006C041F" w:rsidP="00AC5DC5">
      <w:pPr>
        <w:shd w:val="clear" w:color="auto" w:fill="FFFFFF"/>
        <w:spacing w:line="480" w:lineRule="auto"/>
        <w:ind w:left="864" w:right="75" w:hanging="720"/>
        <w:rPr>
          <w:rFonts w:eastAsia="Times New Roman" w:cs="Times New Roman"/>
          <w:color w:val="000000"/>
          <w:lang w:val="en-AU" w:eastAsia="en-AU"/>
        </w:rPr>
      </w:pPr>
    </w:p>
    <w:p w14:paraId="4102A0C6" w14:textId="77777777" w:rsidR="006C041F" w:rsidRPr="00245B2E" w:rsidRDefault="006C041F" w:rsidP="00AC5DC5">
      <w:pPr>
        <w:spacing w:line="480" w:lineRule="auto"/>
        <w:ind w:left="864" w:hanging="720"/>
        <w:jc w:val="both"/>
        <w:rPr>
          <w:rFonts w:cs="Times New Roman"/>
        </w:rPr>
      </w:pPr>
    </w:p>
    <w:p w14:paraId="5F69838A" w14:textId="77777777" w:rsidR="00661578" w:rsidRPr="00661578" w:rsidRDefault="00661578" w:rsidP="00AC5DC5">
      <w:pPr>
        <w:spacing w:line="480" w:lineRule="auto"/>
        <w:ind w:left="864" w:hanging="720"/>
        <w:jc w:val="both"/>
        <w:rPr>
          <w:rFonts w:ascii="Times New Roman" w:hAnsi="Times New Roman" w:cs="Times New Roman"/>
        </w:rPr>
      </w:pPr>
    </w:p>
    <w:p w14:paraId="37294AD6" w14:textId="77777777" w:rsidR="002C0F2C" w:rsidRDefault="002C0F2C" w:rsidP="00AC5DC5">
      <w:pPr>
        <w:spacing w:line="480" w:lineRule="auto"/>
        <w:ind w:left="864" w:hanging="720"/>
        <w:jc w:val="center"/>
      </w:pPr>
    </w:p>
    <w:sectPr w:rsidR="002C0F2C" w:rsidSect="004F3E88">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7E95BA" w14:textId="77777777" w:rsidR="002C0F2C" w:rsidRDefault="002C0F2C" w:rsidP="002C0F2C">
      <w:r>
        <w:separator/>
      </w:r>
    </w:p>
  </w:endnote>
  <w:endnote w:type="continuationSeparator" w:id="0">
    <w:p w14:paraId="0F421517" w14:textId="77777777" w:rsidR="002C0F2C" w:rsidRDefault="002C0F2C" w:rsidP="002C0F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28C27E" w14:textId="77777777" w:rsidR="002C0F2C" w:rsidRDefault="002C0F2C" w:rsidP="002C0F2C">
      <w:r>
        <w:separator/>
      </w:r>
    </w:p>
  </w:footnote>
  <w:footnote w:type="continuationSeparator" w:id="0">
    <w:p w14:paraId="161AC00C" w14:textId="77777777" w:rsidR="002C0F2C" w:rsidRDefault="002C0F2C" w:rsidP="002C0F2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D1A0B4" w14:textId="77777777" w:rsidR="002C0F2C" w:rsidRDefault="002C0F2C" w:rsidP="00C70A2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60F0285" w14:textId="77777777" w:rsidR="002C0F2C" w:rsidRDefault="002C0F2C" w:rsidP="002C0F2C">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4576E5" w14:textId="77777777" w:rsidR="002C0F2C" w:rsidRDefault="002C0F2C" w:rsidP="00C70A2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A46A9">
      <w:rPr>
        <w:rStyle w:val="PageNumber"/>
        <w:noProof/>
      </w:rPr>
      <w:t>1</w:t>
    </w:r>
    <w:r>
      <w:rPr>
        <w:rStyle w:val="PageNumber"/>
      </w:rPr>
      <w:fldChar w:fldCharType="end"/>
    </w:r>
  </w:p>
  <w:p w14:paraId="50EEFD1E" w14:textId="77777777" w:rsidR="002C0F2C" w:rsidRDefault="002C0F2C" w:rsidP="002C0F2C">
    <w:pPr>
      <w:pStyle w:val="Header"/>
      <w:ind w:right="360"/>
    </w:pPr>
    <w:r>
      <w:t>Running head: POLICIES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F2C"/>
    <w:rsid w:val="002C0F2C"/>
    <w:rsid w:val="004F3E88"/>
    <w:rsid w:val="00661578"/>
    <w:rsid w:val="006C041F"/>
    <w:rsid w:val="00A25175"/>
    <w:rsid w:val="00A764B5"/>
    <w:rsid w:val="00AC5DC5"/>
    <w:rsid w:val="00EB6870"/>
    <w:rsid w:val="00F86A08"/>
    <w:rsid w:val="00FA46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73CE24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0F2C"/>
    <w:pPr>
      <w:tabs>
        <w:tab w:val="center" w:pos="4320"/>
        <w:tab w:val="right" w:pos="8640"/>
      </w:tabs>
    </w:pPr>
  </w:style>
  <w:style w:type="character" w:customStyle="1" w:styleId="HeaderChar">
    <w:name w:val="Header Char"/>
    <w:basedOn w:val="DefaultParagraphFont"/>
    <w:link w:val="Header"/>
    <w:uiPriority w:val="99"/>
    <w:rsid w:val="002C0F2C"/>
  </w:style>
  <w:style w:type="character" w:styleId="PageNumber">
    <w:name w:val="page number"/>
    <w:basedOn w:val="DefaultParagraphFont"/>
    <w:uiPriority w:val="99"/>
    <w:semiHidden/>
    <w:unhideWhenUsed/>
    <w:rsid w:val="002C0F2C"/>
  </w:style>
  <w:style w:type="paragraph" w:styleId="Footer">
    <w:name w:val="footer"/>
    <w:basedOn w:val="Normal"/>
    <w:link w:val="FooterChar"/>
    <w:uiPriority w:val="99"/>
    <w:unhideWhenUsed/>
    <w:rsid w:val="002C0F2C"/>
    <w:pPr>
      <w:tabs>
        <w:tab w:val="center" w:pos="4320"/>
        <w:tab w:val="right" w:pos="8640"/>
      </w:tabs>
    </w:pPr>
  </w:style>
  <w:style w:type="character" w:customStyle="1" w:styleId="FooterChar">
    <w:name w:val="Footer Char"/>
    <w:basedOn w:val="DefaultParagraphFont"/>
    <w:link w:val="Footer"/>
    <w:uiPriority w:val="99"/>
    <w:rsid w:val="002C0F2C"/>
  </w:style>
  <w:style w:type="paragraph" w:styleId="Bibliography">
    <w:name w:val="Bibliography"/>
    <w:basedOn w:val="Normal"/>
    <w:next w:val="Normal"/>
    <w:uiPriority w:val="37"/>
    <w:unhideWhenUsed/>
    <w:rsid w:val="006C041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0F2C"/>
    <w:pPr>
      <w:tabs>
        <w:tab w:val="center" w:pos="4320"/>
        <w:tab w:val="right" w:pos="8640"/>
      </w:tabs>
    </w:pPr>
  </w:style>
  <w:style w:type="character" w:customStyle="1" w:styleId="HeaderChar">
    <w:name w:val="Header Char"/>
    <w:basedOn w:val="DefaultParagraphFont"/>
    <w:link w:val="Header"/>
    <w:uiPriority w:val="99"/>
    <w:rsid w:val="002C0F2C"/>
  </w:style>
  <w:style w:type="character" w:styleId="PageNumber">
    <w:name w:val="page number"/>
    <w:basedOn w:val="DefaultParagraphFont"/>
    <w:uiPriority w:val="99"/>
    <w:semiHidden/>
    <w:unhideWhenUsed/>
    <w:rsid w:val="002C0F2C"/>
  </w:style>
  <w:style w:type="paragraph" w:styleId="Footer">
    <w:name w:val="footer"/>
    <w:basedOn w:val="Normal"/>
    <w:link w:val="FooterChar"/>
    <w:uiPriority w:val="99"/>
    <w:unhideWhenUsed/>
    <w:rsid w:val="002C0F2C"/>
    <w:pPr>
      <w:tabs>
        <w:tab w:val="center" w:pos="4320"/>
        <w:tab w:val="right" w:pos="8640"/>
      </w:tabs>
    </w:pPr>
  </w:style>
  <w:style w:type="character" w:customStyle="1" w:styleId="FooterChar">
    <w:name w:val="Footer Char"/>
    <w:basedOn w:val="DefaultParagraphFont"/>
    <w:link w:val="Footer"/>
    <w:uiPriority w:val="99"/>
    <w:rsid w:val="002C0F2C"/>
  </w:style>
  <w:style w:type="paragraph" w:styleId="Bibliography">
    <w:name w:val="Bibliography"/>
    <w:basedOn w:val="Normal"/>
    <w:next w:val="Normal"/>
    <w:uiPriority w:val="37"/>
    <w:unhideWhenUsed/>
    <w:rsid w:val="006C04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Lin17</b:Tag>
    <b:SourceType>JournalArticle</b:SourceType>
    <b:Guid>{E8F52265-B3FE-734F-8E29-BBE3DC042FB8}</b:Guid>
    <b:Author>
      <b:Author>
        <b:NameList>
          <b:Person>
            <b:Last>Coventry</b:Last>
            <b:First>Linda</b:First>
            <b:Middle>L.</b:Middle>
          </b:Person>
          <b:Person>
            <b:Last>Pickles</b:Last>
            <b:First>Sharon</b:First>
          </b:Person>
          <b:Person>
            <b:Last>Sin</b:Last>
            <b:First>Michelle</b:First>
          </b:Person>
          <b:Person>
            <b:Last>Towell</b:Last>
            <b:First>Amanda</b:First>
          </b:Person>
          <b:Person>
            <b:Last>Giles</b:Last>
            <b:First>Margaret</b:First>
          </b:Person>
          <b:Person>
            <b:Last>Murray</b:Last>
            <b:First>Kevin</b:First>
          </b:Person>
          <b:Person>
            <b:Last>Twigg</b:Last>
            <b:First>Diane</b:First>
            <b:Middle>E.</b:Middle>
          </b:Person>
        </b:NameList>
      </b:Author>
    </b:Author>
    <b:Title>Impact of the Orthopaedic Nurse Practitioner role on acute hospital length of stay and cost‐savings for patients with hip fracture: A retrospective cohort study</b:Title>
    <b:JournalName>JAN</b:JournalName>
    <b:Year>2017</b:Year>
    <b:Volume>731</b:Volume>
    <b:Issue>11</b:Issue>
    <b:RefOrder>1</b:RefOrder>
  </b:Source>
  <b:Source>
    <b:Tag>JMB15</b:Tag>
    <b:SourceType>JournalArticle</b:SourceType>
    <b:Guid>{EB2DFE46-F19E-BD48-BE05-82EA6803B6FA}</b:Guid>
    <b:Author>
      <b:Author>
        <b:NameList>
          <b:Person>
            <b:Last>Been-Dahmen</b:Last>
            <b:First>J</b:First>
            <b:Middle>M</b:Middle>
          </b:Person>
          <b:Person>
            <b:Last>Hazes</b:Last>
            <b:First>J</b:First>
            <b:Middle>Dwarswaar</b:Middle>
          </b:Person>
          <b:Person>
            <b:Last>Staa</b:Last>
            <b:First>A</b:First>
          </b:Person>
          <b:Person>
            <b:Last>Ista</b:Last>
            <b:First>E</b:First>
          </b:Person>
        </b:NameList>
      </b:Author>
    </b:Author>
    <b:Title>Nurses' views on patient self-management: a qualitative study. </b:Title>
    <b:JournalName> J Adv Nurs</b:JournalName>
    <b:Year>2015</b:Year>
    <b:Volume>71</b:Volume>
    <b:Issue>12</b:Issue>
    <b:Pages>2834-45</b:Pages>
    <b:RefOrder>2</b:RefOrder>
  </b:Source>
  <b:Source>
    <b:Tag>Nic15</b:Tag>
    <b:SourceType>JournalArticle</b:SourceType>
    <b:Guid>{4E91E9B9-B82D-7141-A493-2E40205AD9A8}</b:Guid>
    <b:Author>
      <b:Author>
        <b:NameList>
          <b:Person>
            <b:Last>Blazek</b:Last>
            <b:First>Nicole</b:First>
          </b:Person>
        </b:NameList>
      </b:Author>
    </b:Author>
    <b:Title>NPs important leaders for evidence-based practice, improving patient outcomes</b:Title>
    <b:JournalName>NAPNAP</b:JournalName>
    <b:Year>2015</b:Year>
    <b:RefOrder>3</b:RefOrder>
  </b:Source>
  <b:Source>
    <b:Tag>Car131</b:Tag>
    <b:SourceType>JournalArticle</b:SourceType>
    <b:Guid>{1AC1F201-27F5-0241-9217-50997A32728C}</b:Guid>
    <b:Author>
      <b:Author>
        <b:NameList>
          <b:Person>
            <b:Last>Philpot</b:Last>
            <b:First>Carolyn</b:First>
          </b:Person>
          <b:Person>
            <b:Last>Tolson</b:Last>
            <b:First>Debbie</b:First>
          </b:Person>
          <b:Person>
            <b:Last>Morley</b:Last>
            <b:First>J</b:First>
            <b:Middle>Eileen</b:Middle>
          </b:Person>
        </b:NameList>
      </b:Author>
    </b:Author>
    <b:Title>Advanced practice nurses and attending physicians: a collaboration to improve quality of care in the nursing home.</b:Title>
    <b:JournalName>ournal of the American Medical Directors Associtaion</b:JournalName>
    <b:Year>2013</b:Year>
    <b:RefOrder>4</b:RefOrder>
  </b:Source>
  <b:Source>
    <b:Tag>EMc14</b:Tag>
    <b:SourceType>JournalArticle</b:SourceType>
    <b:Guid>{5AE4151F-43F6-8D44-9577-ECD8EBAE677D}</b:Guid>
    <b:Author>
      <b:Author>
        <b:NameList>
          <b:Person>
            <b:Last>McCleery</b:Last>
            <b:First>E</b:First>
          </b:Person>
          <b:Person>
            <b:Last>Christensen</b:Last>
            <b:First>V</b:First>
          </b:Person>
          <b:Person>
            <b:Last>Peterson</b:Last>
            <b:First>K</b:First>
          </b:Person>
          <b:Person>
            <b:Last>Humphrey</b:Last>
            <b:First>L</b:First>
          </b:Person>
          <b:Person>
            <b:Last>Helfand</b:Last>
            <b:First>M</b:First>
          </b:Person>
        </b:NameList>
      </b:Author>
    </b:Author>
    <b:Title>Evidence Brief: The Quality of Care Provided by Advanced Practice Nurses. </b:Title>
    <b:JournalName>PubMed</b:JournalName>
    <b:Year>2014</b:Year>
    <b:RefOrder>5</b:RefOrder>
  </b:Source>
</b:Sources>
</file>

<file path=customXml/itemProps1.xml><?xml version="1.0" encoding="utf-8"?>
<ds:datastoreItem xmlns:ds="http://schemas.openxmlformats.org/officeDocument/2006/customXml" ds:itemID="{EC43A163-70A7-504B-BCB6-CC76EC7FB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462</Words>
  <Characters>2634</Characters>
  <Application>Microsoft Macintosh Word</Application>
  <DocSecurity>0</DocSecurity>
  <Lines>21</Lines>
  <Paragraphs>6</Paragraphs>
  <ScaleCrop>false</ScaleCrop>
  <Company>art</Company>
  <LinksUpToDate>false</LinksUpToDate>
  <CharactersWithSpaces>3090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 C</dc:creator>
  <cp:keywords/>
  <dc:description/>
  <cp:lastModifiedBy>AB C</cp:lastModifiedBy>
  <cp:revision>9</cp:revision>
  <dcterms:created xsi:type="dcterms:W3CDTF">2019-12-10T16:05:00Z</dcterms:created>
  <dcterms:modified xsi:type="dcterms:W3CDTF">2019-12-10T16:24:00Z</dcterms:modified>
</cp:coreProperties>
</file>