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2F285D35" w14:textId="77777777" w:rsidR="00F9444C" w:rsidRDefault="00F9444C">
          <w:pPr>
            <w:pStyle w:val="NoSpacing"/>
          </w:pPr>
          <w:r>
            <w:t>Your Name</w:t>
          </w:r>
        </w:p>
      </w:sdtContent>
    </w:sdt>
    <w:p w14:paraId="3A8C7872" w14:textId="77777777" w:rsidR="00E614DD" w:rsidRDefault="00516B7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9F57E1D" w14:textId="77777777" w:rsidR="00E614DD" w:rsidRDefault="00516B7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9F3EA11" w14:textId="77777777" w:rsidR="00E614DD" w:rsidRDefault="00516B7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D674540" w14:textId="77777777" w:rsidR="00E614DD" w:rsidRDefault="00516B73">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15:appearance w15:val="hidden"/>
        </w:sdtPr>
        <w:sdtEndPr/>
        <w:sdtContent>
          <w:r w:rsidR="00B13D1B">
            <w:t>Subtitle</w:t>
          </w:r>
        </w:sdtContent>
      </w:sdt>
    </w:p>
    <w:p w14:paraId="3DD86F22" w14:textId="77777777" w:rsidR="00884EF2" w:rsidRPr="00EE1877" w:rsidRDefault="00884EF2" w:rsidP="00884EF2">
      <w:pPr>
        <w:ind w:firstLine="0"/>
        <w:rPr>
          <w:rFonts w:ascii="Times New Roman" w:eastAsia="Times New Roman" w:hAnsi="Times New Roman" w:cs="Times New Roman"/>
          <w:b/>
        </w:rPr>
      </w:pPr>
      <w:r w:rsidRPr="00EE1877">
        <w:rPr>
          <w:rFonts w:ascii="Times New Roman" w:eastAsia="Times New Roman" w:hAnsi="Times New Roman" w:cs="Times New Roman"/>
          <w:b/>
        </w:rPr>
        <w:t>Case 01</w:t>
      </w:r>
    </w:p>
    <w:p w14:paraId="332C3EBF" w14:textId="77777777"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 xml:space="preserve">At </w:t>
      </w:r>
      <w:r w:rsidR="008960E3">
        <w:rPr>
          <w:rFonts w:ascii="Times New Roman" w:eastAsia="Times New Roman" w:hAnsi="Times New Roman" w:cs="Times New Roman"/>
        </w:rPr>
        <w:t>‘</w:t>
      </w:r>
      <w:r w:rsidRPr="00EE1877">
        <w:rPr>
          <w:rFonts w:ascii="Times New Roman" w:eastAsia="Times New Roman" w:hAnsi="Times New Roman" w:cs="Times New Roman"/>
        </w:rPr>
        <w:t>We Haul</w:t>
      </w:r>
      <w:r w:rsidR="008960E3">
        <w:rPr>
          <w:rFonts w:ascii="Times New Roman" w:eastAsia="Times New Roman" w:hAnsi="Times New Roman" w:cs="Times New Roman"/>
        </w:rPr>
        <w:t>’</w:t>
      </w:r>
      <w:r w:rsidRPr="00EE1877">
        <w:rPr>
          <w:rFonts w:ascii="Times New Roman" w:eastAsia="Times New Roman" w:hAnsi="Times New Roman" w:cs="Times New Roman"/>
        </w:rPr>
        <w:t xml:space="preserve">, a trucking company, the Teamsters Union is trying to organize and unite the drivers. They were using the lunchroom for this purpose. They gave other drivers petitions and requested them to sign the authorization card. The company placed a sign in the lunchroom that other drivers were bothered, and the union is not allowed to continue discussions in there. National Labor Relations Act (NLRA) guarantees the rights of the labor community. According to it, the drivers at </w:t>
      </w:r>
      <w:r w:rsidR="00D67D2B">
        <w:rPr>
          <w:rFonts w:ascii="Times New Roman" w:eastAsia="Times New Roman" w:hAnsi="Times New Roman" w:cs="Times New Roman"/>
        </w:rPr>
        <w:t>‘</w:t>
      </w:r>
      <w:r w:rsidRPr="00EE1877">
        <w:rPr>
          <w:rFonts w:ascii="Times New Roman" w:eastAsia="Times New Roman" w:hAnsi="Times New Roman" w:cs="Times New Roman"/>
        </w:rPr>
        <w:t>We Haul</w:t>
      </w:r>
      <w:r w:rsidR="00D67D2B">
        <w:rPr>
          <w:rFonts w:ascii="Times New Roman" w:eastAsia="Times New Roman" w:hAnsi="Times New Roman" w:cs="Times New Roman"/>
        </w:rPr>
        <w:t>’</w:t>
      </w:r>
      <w:r w:rsidRPr="00EE1877">
        <w:rPr>
          <w:rFonts w:ascii="Times New Roman" w:eastAsia="Times New Roman" w:hAnsi="Times New Roman" w:cs="Times New Roman"/>
        </w:rPr>
        <w:t xml:space="preserve"> are allowed to conduct discussion and hand out the petitions. Hence the sign is not legal.</w:t>
      </w:r>
      <w:r w:rsidRPr="00B00940">
        <w:rPr>
          <w:rFonts w:ascii="Times New Roman" w:eastAsia="Times New Roman" w:hAnsi="Times New Roman" w:cs="Times New Roman"/>
        </w:rPr>
        <w:t xml:space="preserve"> </w:t>
      </w:r>
      <w:r w:rsidRPr="00B00940">
        <w:rPr>
          <w:rFonts w:ascii="Times New Roman" w:eastAsia="Times New Roman" w:hAnsi="Times New Roman" w:cs="Times New Roman"/>
        </w:rPr>
        <w:fldChar w:fldCharType="begin"/>
      </w:r>
      <w:r w:rsidRPr="00B00940">
        <w:rPr>
          <w:rFonts w:ascii="Times New Roman" w:eastAsia="Times New Roman" w:hAnsi="Times New Roman" w:cs="Times New Roman"/>
        </w:rPr>
        <w:instrText xml:space="preserve"> ADDIN ZOTERO_ITEM CSL_CITATION {"citationID":"YuaACsbc","properties":{"formattedCitation":"(Beatty and Samuelson)","plainCitation":"(Beatty and Samuelson)","noteIndex":0},"citationItems":[{"id":524,"uris":["http://zotero.org/users/local/YgsdZK9k/items/NCVQTSRX"],"uri":["http://zotero.org/users/local/YgsdZK9k/items/NCVQTSRX"],"itemData":{"id":524,"type":"book","abstract":"Using an innovative storytelling style to bring cases and legal concepts to life, INTRODUCTION TO BUSINESS LAW, 5E presents a full range of business law topics in a series of brief, quick-reading chapters. The text delivers succinct coverage of core business law topics, emphasizes the business applications of chapter concepts, and includes summarized cases to illustrate the point of law. The fifth edition includes all-new chapters on LLCs and employment discrimination, new Case Questions, and a new emphasis on social media issues throughout.Important Notice: Media content referenced within the product description or the product text may not be available in the ebook version.","ISBN":"978-1-305-44584-0","language":"en","note":"Google-Books-ID: mzJBBAAAQBAJ","number-of-pages":"721","publisher":"Cengage Learning","source":"Google Books","title":"Introduction to Business Law","title-short":"Cengage Advantage Books","author":[{"family":"Beatty","given":"Jeffrey F."},{"family":"Samuelson","given":"Susan S."}],"issued":{"date-parts":[["2015",1,1]]}}}],"schema":"https://github.com/citation-style-language/schema/raw/master/csl-citation.json"} </w:instrText>
      </w:r>
      <w:r w:rsidRPr="00B00940">
        <w:rPr>
          <w:rFonts w:ascii="Times New Roman" w:eastAsia="Times New Roman" w:hAnsi="Times New Roman" w:cs="Times New Roman"/>
        </w:rPr>
        <w:fldChar w:fldCharType="separate"/>
      </w:r>
      <w:r w:rsidRPr="00B00940">
        <w:rPr>
          <w:rFonts w:ascii="Times New Roman" w:hAnsi="Times New Roman" w:cs="Times New Roman"/>
        </w:rPr>
        <w:t>(Beatty and Samuelson)</w:t>
      </w:r>
      <w:r w:rsidRPr="00B00940">
        <w:rPr>
          <w:rFonts w:ascii="Times New Roman" w:eastAsia="Times New Roman" w:hAnsi="Times New Roman" w:cs="Times New Roman"/>
        </w:rPr>
        <w:fldChar w:fldCharType="end"/>
      </w:r>
    </w:p>
    <w:p w14:paraId="43700598" w14:textId="77777777" w:rsidR="00884EF2" w:rsidRPr="00EE1877" w:rsidRDefault="00884EF2" w:rsidP="00884EF2">
      <w:pPr>
        <w:ind w:firstLine="0"/>
        <w:rPr>
          <w:rFonts w:ascii="Times New Roman" w:eastAsia="Times New Roman" w:hAnsi="Times New Roman" w:cs="Times New Roman"/>
          <w:b/>
        </w:rPr>
      </w:pPr>
      <w:r w:rsidRPr="00EE1877">
        <w:rPr>
          <w:rFonts w:ascii="Times New Roman" w:eastAsia="Times New Roman" w:hAnsi="Times New Roman" w:cs="Times New Roman"/>
          <w:b/>
        </w:rPr>
        <w:t>Case 02</w:t>
      </w:r>
    </w:p>
    <w:p w14:paraId="3B937AC0" w14:textId="70E8B6BB"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Marcie Dutschmann was an at-will employee, but the handbook given to her stated that she has the right to termination hearing in case she is fired. Fed-Ex argued that she fabricated records, however, she claims that she was fired for filing a complaint against sexual harassment. She has the right to termination hearing as mentioned in the handbook. The company is obligated to conduct termination hearing as per her request and the employee handbook implies contract guaranteeing Dutschmann a hearing.</w:t>
      </w:r>
    </w:p>
    <w:p w14:paraId="23D8EC1F" w14:textId="77777777" w:rsidR="00884EF2" w:rsidRPr="00EE1877" w:rsidRDefault="00884EF2" w:rsidP="00884EF2">
      <w:pPr>
        <w:ind w:firstLine="0"/>
        <w:rPr>
          <w:rFonts w:ascii="Times New Roman" w:eastAsia="Times New Roman" w:hAnsi="Times New Roman" w:cs="Times New Roman"/>
          <w:b/>
        </w:rPr>
      </w:pPr>
      <w:r w:rsidRPr="00EE1877">
        <w:rPr>
          <w:rFonts w:ascii="Times New Roman" w:eastAsia="Times New Roman" w:hAnsi="Times New Roman" w:cs="Times New Roman"/>
          <w:b/>
        </w:rPr>
        <w:t>Case 03</w:t>
      </w:r>
    </w:p>
    <w:p w14:paraId="53E728F8" w14:textId="1A42AA19"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According to Title VII, discrimination based on gender or sexual orientation at the workplace is illegal. Any decision or act based on this discrimination can be challenged in court</w:t>
      </w:r>
      <w:r w:rsidRPr="00B00940">
        <w:rPr>
          <w:rFonts w:ascii="Times New Roman" w:eastAsia="Times New Roman" w:hAnsi="Times New Roman" w:cs="Times New Roman"/>
        </w:rPr>
        <w:t xml:space="preserve"> </w:t>
      </w:r>
      <w:r w:rsidRPr="00B00940">
        <w:rPr>
          <w:rFonts w:ascii="Times New Roman" w:eastAsia="Times New Roman" w:hAnsi="Times New Roman" w:cs="Times New Roman"/>
        </w:rPr>
        <w:lastRenderedPageBreak/>
        <w:fldChar w:fldCharType="begin"/>
      </w:r>
      <w:r w:rsidRPr="00B00940">
        <w:rPr>
          <w:rFonts w:ascii="Times New Roman" w:eastAsia="Times New Roman" w:hAnsi="Times New Roman" w:cs="Times New Roman"/>
        </w:rPr>
        <w:instrText xml:space="preserve"> ADDIN ZOTERO_ITEM CSL_CITATION {"citationID":"CllRpbHw","properties":{"formattedCitation":"(Miller)","plainCitation":"(Miller)","noteIndex":0},"citationItems":[{"id":526,"uris":["http://zotero.org/users/local/YgsdZK9k/items/K856NTAL"],"uri":["http://zotero.org/users/local/YgsdZK9k/items/K856NTAL"],"itemData":{"id":526,"type":"article-journal","container-title":"Minnesota Law Review","journalAbbreviation":"Minn. L. Rev.","page":"877","title":"Sex Discrimination and Title VII of the Civil Rights Act of 1964","volume":"51","author":[{"family":"Miller","given":"Robert Stevens Jr"}],"issued":{"date-parts":[["1966"]],"season":"1967"}}}],"schema":"https://github.com/citation-style-language/schema/raw/master/csl-citation.json"} </w:instrText>
      </w:r>
      <w:r w:rsidRPr="00B00940">
        <w:rPr>
          <w:rFonts w:ascii="Times New Roman" w:eastAsia="Times New Roman" w:hAnsi="Times New Roman" w:cs="Times New Roman"/>
        </w:rPr>
        <w:fldChar w:fldCharType="separate"/>
      </w:r>
      <w:r w:rsidRPr="00B00940">
        <w:rPr>
          <w:rFonts w:ascii="Times New Roman" w:hAnsi="Times New Roman" w:cs="Times New Roman"/>
        </w:rPr>
        <w:t>(Miller)</w:t>
      </w:r>
      <w:r w:rsidRPr="00B00940">
        <w:rPr>
          <w:rFonts w:ascii="Times New Roman" w:eastAsia="Times New Roman" w:hAnsi="Times New Roman" w:cs="Times New Roman"/>
        </w:rPr>
        <w:fldChar w:fldCharType="end"/>
      </w:r>
      <w:r w:rsidRPr="00EE1877">
        <w:rPr>
          <w:rFonts w:ascii="Times New Roman" w:eastAsia="Times New Roman" w:hAnsi="Times New Roman" w:cs="Times New Roman"/>
        </w:rPr>
        <w:t>. In this case, the employee Oiler was fired for crossdressing and appearing in the public with a woman</w:t>
      </w:r>
      <w:r w:rsidR="004E7EA8">
        <w:rPr>
          <w:rFonts w:ascii="Times New Roman" w:eastAsia="Times New Roman" w:hAnsi="Times New Roman" w:cs="Times New Roman"/>
        </w:rPr>
        <w:t>’s</w:t>
      </w:r>
      <w:r w:rsidRPr="00EE1877">
        <w:rPr>
          <w:rFonts w:ascii="Times New Roman" w:eastAsia="Times New Roman" w:hAnsi="Times New Roman" w:cs="Times New Roman"/>
        </w:rPr>
        <w:t xml:space="preserve"> identity. In society, crossdressing is often considered a social identity. The diagnostic standards of Transvestic Fetishism vaguely decrease this social expression of femininity by cross-dressing males to sexual aberration.</w:t>
      </w:r>
    </w:p>
    <w:p w14:paraId="661B8569" w14:textId="645E9007"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           Plaintiff asserts two justifications to support his motion for summary judgment. He states that according to Title VII; his termination is illegal as the law forbids sexual discriminations. He stated that he only cross-dressed outside of work. Secondly, he stated that he was wrongly terminated, and his termination is disparate conduct as other females were not fired. </w:t>
      </w:r>
    </w:p>
    <w:p w14:paraId="48DA0CBF" w14:textId="77777777"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The claim of the Plaintiff for disparate conduct is not solid enough because he has not demonstrated a legitimate problem of substantial fact to support his claim. The defendant is eligible to decide according to the law. Title VII does not hold for this case and hence the plaintiff cannot challenge the termination. In addition to this, there was no evidence that any women cross-dressed or were involved in similar activities</w:t>
      </w:r>
      <w:r w:rsidRPr="00B00940">
        <w:rPr>
          <w:rFonts w:ascii="Times New Roman" w:eastAsia="Times New Roman" w:hAnsi="Times New Roman" w:cs="Times New Roman"/>
        </w:rPr>
        <w:t xml:space="preserve"> </w:t>
      </w:r>
      <w:r w:rsidRPr="00B00940">
        <w:rPr>
          <w:rFonts w:ascii="Times New Roman" w:eastAsia="Times New Roman" w:hAnsi="Times New Roman" w:cs="Times New Roman"/>
        </w:rPr>
        <w:fldChar w:fldCharType="begin"/>
      </w:r>
      <w:r w:rsidRPr="00B00940">
        <w:rPr>
          <w:rFonts w:ascii="Times New Roman" w:eastAsia="Times New Roman" w:hAnsi="Times New Roman" w:cs="Times New Roman"/>
        </w:rPr>
        <w:instrText xml:space="preserve"> ADDIN ZOTERO_ITEM CSL_CITATION {"citationID":"yqCKvXHg","properties":{"formattedCitation":"(Beatty and Samuelson)","plainCitation":"(Beatty and Samuelson)","noteIndex":0},"citationItems":[{"id":524,"uris":["http://zotero.org/users/local/YgsdZK9k/items/NCVQTSRX"],"uri":["http://zotero.org/users/local/YgsdZK9k/items/NCVQTSRX"],"itemData":{"id":524,"type":"book","abstract":"Using an innovative storytelling style to bring cases and legal concepts to life, INTRODUCTION TO BUSINESS LAW, 5E presents a full range of business law topics in a series of brief, quick-reading chapters. The text delivers succinct coverage of core business law topics, emphasizes the business applications of chapter concepts, and includes summarized cases to illustrate the point of law. The fifth edition includes all-new chapters on LLCs and employment discrimination, new Case Questions, and a new emphasis on social media issues throughout.Important Notice: Media content referenced within the product description or the product text may not be available in the ebook version.","ISBN":"978-1-305-44584-0","language":"en","note":"Google-Books-ID: mzJBBAAAQBAJ","number-of-pages":"721","publisher":"Cengage Learning","source":"Google Books","title":"Introduction to Business Law","title-short":"Cengage Advantage Books","author":[{"family":"Beatty","given":"Jeffrey F."},{"family":"Samuelson","given":"Susan S."}],"issued":{"date-parts":[["2015",1,1]]}}}],"schema":"https://github.com/citation-style-language/schema/raw/master/csl-citation.json"} </w:instrText>
      </w:r>
      <w:r w:rsidRPr="00B00940">
        <w:rPr>
          <w:rFonts w:ascii="Times New Roman" w:eastAsia="Times New Roman" w:hAnsi="Times New Roman" w:cs="Times New Roman"/>
        </w:rPr>
        <w:fldChar w:fldCharType="separate"/>
      </w:r>
      <w:r w:rsidRPr="00B00940">
        <w:rPr>
          <w:rFonts w:ascii="Times New Roman" w:hAnsi="Times New Roman" w:cs="Times New Roman"/>
        </w:rPr>
        <w:t>(Beatty and Samuelson)</w:t>
      </w:r>
      <w:r w:rsidRPr="00B00940">
        <w:rPr>
          <w:rFonts w:ascii="Times New Roman" w:eastAsia="Times New Roman" w:hAnsi="Times New Roman" w:cs="Times New Roman"/>
        </w:rPr>
        <w:fldChar w:fldCharType="end"/>
      </w:r>
    </w:p>
    <w:p w14:paraId="7027E209" w14:textId="77777777" w:rsidR="00884EF2" w:rsidRPr="00EE1877" w:rsidRDefault="00884EF2" w:rsidP="00884EF2">
      <w:pPr>
        <w:ind w:firstLine="0"/>
        <w:rPr>
          <w:rFonts w:ascii="Times New Roman" w:eastAsia="Times New Roman" w:hAnsi="Times New Roman" w:cs="Times New Roman"/>
          <w:b/>
        </w:rPr>
      </w:pPr>
      <w:r w:rsidRPr="00EE1877">
        <w:rPr>
          <w:rFonts w:ascii="Times New Roman" w:eastAsia="Times New Roman" w:hAnsi="Times New Roman" w:cs="Times New Roman"/>
          <w:b/>
        </w:rPr>
        <w:t>Case 04</w:t>
      </w:r>
    </w:p>
    <w:p w14:paraId="45176DA1" w14:textId="6035D562"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 xml:space="preserve">According to the rules of EEOC, there is no discrimination in physical and mental illness. EEOC recommends the employers to provide a comfortable environment </w:t>
      </w:r>
      <w:r w:rsidR="004E7EA8">
        <w:rPr>
          <w:rFonts w:ascii="Times New Roman" w:eastAsia="Times New Roman" w:hAnsi="Times New Roman" w:cs="Times New Roman"/>
        </w:rPr>
        <w:t>for</w:t>
      </w:r>
      <w:r w:rsidRPr="00EE1877">
        <w:rPr>
          <w:rFonts w:ascii="Times New Roman" w:eastAsia="Times New Roman" w:hAnsi="Times New Roman" w:cs="Times New Roman"/>
        </w:rPr>
        <w:t xml:space="preserve"> disable employees</w:t>
      </w:r>
      <w:r w:rsidR="004E7EA8">
        <w:rPr>
          <w:rFonts w:ascii="Times New Roman" w:eastAsia="Times New Roman" w:hAnsi="Times New Roman" w:cs="Times New Roman"/>
        </w:rPr>
        <w:t xml:space="preserve"> and</w:t>
      </w:r>
      <w:r w:rsidRPr="00EE1877">
        <w:rPr>
          <w:rFonts w:ascii="Times New Roman" w:eastAsia="Times New Roman" w:hAnsi="Times New Roman" w:cs="Times New Roman"/>
        </w:rPr>
        <w:t xml:space="preserve"> </w:t>
      </w:r>
      <w:r w:rsidR="004E7EA8" w:rsidRPr="00EE1877">
        <w:rPr>
          <w:rFonts w:ascii="Times New Roman" w:eastAsia="Times New Roman" w:hAnsi="Times New Roman" w:cs="Times New Roman"/>
        </w:rPr>
        <w:t>assign</w:t>
      </w:r>
      <w:r w:rsidRPr="00EE1877">
        <w:rPr>
          <w:rFonts w:ascii="Times New Roman" w:eastAsia="Times New Roman" w:hAnsi="Times New Roman" w:cs="Times New Roman"/>
        </w:rPr>
        <w:t xml:space="preserve"> flexible work timings so that employees can attend therapy sessions and provide feedback according to the job requirement. As per rules set by Americans with Disabilities Act (</w:t>
      </w:r>
      <w:r w:rsidRPr="00EE1877">
        <w:rPr>
          <w:rFonts w:ascii="Times New Roman" w:eastAsia="Times New Roman" w:hAnsi="Times New Roman" w:cs="Times New Roman"/>
          <w:b/>
          <w:bCs/>
        </w:rPr>
        <w:t>ADA</w:t>
      </w:r>
      <w:r w:rsidRPr="00EE1877">
        <w:rPr>
          <w:rFonts w:ascii="Times New Roman" w:eastAsia="Times New Roman" w:hAnsi="Times New Roman" w:cs="Times New Roman"/>
        </w:rPr>
        <w:t xml:space="preserve">), an employer may request a medical test and converse about an inferred disability. However, this step should only be taken </w:t>
      </w:r>
      <w:r w:rsidR="004E7EA8">
        <w:rPr>
          <w:rFonts w:ascii="Times New Roman" w:eastAsia="Times New Roman" w:hAnsi="Times New Roman" w:cs="Times New Roman"/>
        </w:rPr>
        <w:t xml:space="preserve">when </w:t>
      </w:r>
      <w:r w:rsidRPr="00EE1877">
        <w:rPr>
          <w:rFonts w:ascii="Times New Roman" w:eastAsia="Times New Roman" w:hAnsi="Times New Roman" w:cs="Times New Roman"/>
        </w:rPr>
        <w:t>it is expected that employee will not able to perform well enough to fulfill the job requirement. </w:t>
      </w:r>
    </w:p>
    <w:p w14:paraId="2ED584CB" w14:textId="1DF24000" w:rsidR="00884EF2" w:rsidRPr="00EE1877"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lastRenderedPageBreak/>
        <w:t>In this particular case, the employee Ryan is not able to perform well, and he has stated that he suffers from sleep apnea which is a sleeping disorder due to which the patient experiences suffocation in sleep. One of the side effects of sleep apnea is becoming exhausted and experiencing fatigue. According to Ryan, this is the reason he cannot keep track of important tasks at his job. However, there is no evidence to h</w:t>
      </w:r>
      <w:r w:rsidR="004E7EA8">
        <w:rPr>
          <w:rFonts w:ascii="Times New Roman" w:eastAsia="Times New Roman" w:hAnsi="Times New Roman" w:cs="Times New Roman"/>
        </w:rPr>
        <w:t xml:space="preserve">is </w:t>
      </w:r>
      <w:r w:rsidRPr="00EE1877">
        <w:rPr>
          <w:rFonts w:ascii="Times New Roman" w:eastAsia="Times New Roman" w:hAnsi="Times New Roman" w:cs="Times New Roman"/>
        </w:rPr>
        <w:t>claims as he declined to take tests. According to the doctor’s report, it is also possible that his condition is due to inappropriate sleep patterns, high caffeine intake</w:t>
      </w:r>
      <w:r w:rsidR="00D67D2B">
        <w:rPr>
          <w:rFonts w:ascii="Times New Roman" w:eastAsia="Times New Roman" w:hAnsi="Times New Roman" w:cs="Times New Roman"/>
        </w:rPr>
        <w:t>,</w:t>
      </w:r>
      <w:r w:rsidRPr="00EE1877">
        <w:rPr>
          <w:rFonts w:ascii="Times New Roman" w:eastAsia="Times New Roman" w:hAnsi="Times New Roman" w:cs="Times New Roman"/>
        </w:rPr>
        <w:t xml:space="preserve"> and unhealthy diet.</w:t>
      </w:r>
    </w:p>
    <w:p w14:paraId="50542847" w14:textId="77777777" w:rsidR="00884EF2" w:rsidRPr="00B00940" w:rsidRDefault="00884EF2" w:rsidP="00884EF2">
      <w:pPr>
        <w:rPr>
          <w:rFonts w:ascii="Times New Roman" w:eastAsia="Times New Roman" w:hAnsi="Times New Roman" w:cs="Times New Roman"/>
        </w:rPr>
      </w:pPr>
      <w:r w:rsidRPr="00EE1877">
        <w:rPr>
          <w:rFonts w:ascii="Times New Roman" w:eastAsia="Times New Roman" w:hAnsi="Times New Roman" w:cs="Times New Roman"/>
        </w:rPr>
        <w:t xml:space="preserve">The employer can request Ryan for the test as proof of his claim. If Ryan suffers from Sleep apnea, the employer is obligated to facilitate him according to the rules of EEOC. If Ryan continues to show poor performance and does not submit medical reports, he can be fired </w:t>
      </w:r>
      <w:r w:rsidRPr="00B00940">
        <w:rPr>
          <w:rFonts w:ascii="Times New Roman" w:eastAsia="Times New Roman" w:hAnsi="Times New Roman" w:cs="Times New Roman"/>
        </w:rPr>
        <w:fldChar w:fldCharType="begin"/>
      </w:r>
      <w:r w:rsidRPr="00B00940">
        <w:rPr>
          <w:rFonts w:ascii="Times New Roman" w:eastAsia="Times New Roman" w:hAnsi="Times New Roman" w:cs="Times New Roman"/>
        </w:rPr>
        <w:instrText xml:space="preserve"> ADDIN ZOTERO_ITEM CSL_CITATION {"citationID":"q6OBc8SA","properties":{"formattedCitation":"(Beatty et al.)","plainCitation":"(Beatty et al.)","noteIndex":0},"citationItems":[{"id":522,"uris":["http://zotero.org/users/local/YgsdZK9k/items/SH2X6IIV"],"uri":["http://zotero.org/users/local/YgsdZK9k/items/SH2X6IIV"],"itemData":{"id":522,"type":"book","abstract":"Discover the business law book you’ll actually enjoy reading. Time after time, readers like you have commented that this is the most interesting introduction to law they’ve ever read. ESSENTIALS OF BUSINESS LAW, 6th EDITION is packed with current examples and real scenarios that bring law to life for today’s business learner or professional. Extremely reader-friendly, this engaging presentation uses conversational writing to explain complex topics in easy-to-understand language. Memorable real-world stories help the authors illustrate how legal concepts apply to everyday business practice. This edition emphasizes the digital landscape with new information on privacy and intellectual property. An updated ethics chapter offers a practical approach, using the latest research to explain why people make unethical decisions.Important Notice: Media content referenced within the product description or the product text may not be available in the ebook version.","ISBN":"978-1-337-40419-8","language":"en","note":"Google-Books-ID: 965EDwAAQBAJ","number-of-pages":"1300","publisher":"Cengage Learning","source":"Google Books","title":"Essentials of Business Law","author":[{"family":"Beatty","given":"Jeffrey F."},{"family":"Samuelson","given":"Susan S."},{"family":"Abril","given":"Patricia Sanchez"}],"issued":{"date-parts":[["2018",1,1]]}}}],"schema":"https://github.com/citation-style-language/schema/raw/master/csl-citation.json"} </w:instrText>
      </w:r>
      <w:r w:rsidRPr="00B00940">
        <w:rPr>
          <w:rFonts w:ascii="Times New Roman" w:eastAsia="Times New Roman" w:hAnsi="Times New Roman" w:cs="Times New Roman"/>
        </w:rPr>
        <w:fldChar w:fldCharType="separate"/>
      </w:r>
      <w:r w:rsidRPr="00B00940">
        <w:rPr>
          <w:rFonts w:ascii="Times New Roman" w:hAnsi="Times New Roman" w:cs="Times New Roman"/>
        </w:rPr>
        <w:t>(Beatty et al.)</w:t>
      </w:r>
      <w:r w:rsidRPr="00B00940">
        <w:rPr>
          <w:rFonts w:ascii="Times New Roman" w:eastAsia="Times New Roman" w:hAnsi="Times New Roman" w:cs="Times New Roman"/>
        </w:rPr>
        <w:fldChar w:fldCharType="end"/>
      </w:r>
    </w:p>
    <w:p w14:paraId="4799FF0A" w14:textId="77777777" w:rsidR="00884EF2" w:rsidRDefault="00884EF2">
      <w:pPr>
        <w:suppressAutoHyphens w:val="0"/>
      </w:pPr>
      <w:r>
        <w:br w:type="page"/>
      </w:r>
      <w:bookmarkStart w:id="0" w:name="_GoBack"/>
      <w:bookmarkEnd w:id="0"/>
    </w:p>
    <w:p w14:paraId="79D9F4E7" w14:textId="77777777" w:rsidR="00616E21" w:rsidRPr="008960E3" w:rsidRDefault="00884EF2" w:rsidP="00616E21">
      <w:pPr>
        <w:ind w:firstLine="0"/>
        <w:rPr>
          <w:b/>
        </w:rPr>
      </w:pPr>
      <w:r w:rsidRPr="008960E3">
        <w:rPr>
          <w:b/>
        </w:rPr>
        <w:lastRenderedPageBreak/>
        <w:t>Work Cited</w:t>
      </w:r>
      <w:r w:rsidR="008960E3">
        <w:rPr>
          <w:b/>
        </w:rPr>
        <w:t>:</w:t>
      </w:r>
    </w:p>
    <w:p w14:paraId="39952CB1" w14:textId="77777777" w:rsidR="00884EF2" w:rsidRPr="00884EF2" w:rsidRDefault="00884EF2" w:rsidP="00884EF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84EF2">
        <w:rPr>
          <w:rFonts w:ascii="Times New Roman" w:hAnsi="Times New Roman" w:cs="Times New Roman"/>
        </w:rPr>
        <w:t xml:space="preserve">Beatty, Jeffrey F., et al. </w:t>
      </w:r>
      <w:r w:rsidRPr="00884EF2">
        <w:rPr>
          <w:rFonts w:ascii="Times New Roman" w:hAnsi="Times New Roman" w:cs="Times New Roman"/>
          <w:i/>
          <w:iCs/>
        </w:rPr>
        <w:t>Essentials of Business Law</w:t>
      </w:r>
      <w:r w:rsidRPr="00884EF2">
        <w:rPr>
          <w:rFonts w:ascii="Times New Roman" w:hAnsi="Times New Roman" w:cs="Times New Roman"/>
        </w:rPr>
        <w:t>. Cengage Learning, 2018.</w:t>
      </w:r>
    </w:p>
    <w:p w14:paraId="2AE055FF" w14:textId="77777777" w:rsidR="00884EF2" w:rsidRPr="00884EF2" w:rsidRDefault="00884EF2" w:rsidP="00884EF2">
      <w:pPr>
        <w:pStyle w:val="Bibliography"/>
        <w:rPr>
          <w:rFonts w:ascii="Times New Roman" w:hAnsi="Times New Roman" w:cs="Times New Roman"/>
        </w:rPr>
      </w:pPr>
      <w:r w:rsidRPr="00884EF2">
        <w:rPr>
          <w:rFonts w:ascii="Times New Roman" w:hAnsi="Times New Roman" w:cs="Times New Roman"/>
        </w:rPr>
        <w:t xml:space="preserve">Beatty, Jeffrey F., and Susan S. Samuelson. </w:t>
      </w:r>
      <w:r w:rsidRPr="00884EF2">
        <w:rPr>
          <w:rFonts w:ascii="Times New Roman" w:hAnsi="Times New Roman" w:cs="Times New Roman"/>
          <w:i/>
          <w:iCs/>
        </w:rPr>
        <w:t>Introduction to Business Law</w:t>
      </w:r>
      <w:r w:rsidRPr="00884EF2">
        <w:rPr>
          <w:rFonts w:ascii="Times New Roman" w:hAnsi="Times New Roman" w:cs="Times New Roman"/>
        </w:rPr>
        <w:t>. Cengage Learning, 2015.</w:t>
      </w:r>
    </w:p>
    <w:p w14:paraId="7B4FED5A" w14:textId="77777777" w:rsidR="00884EF2" w:rsidRPr="00884EF2" w:rsidRDefault="00884EF2" w:rsidP="00884EF2">
      <w:pPr>
        <w:pStyle w:val="Bibliography"/>
        <w:rPr>
          <w:rFonts w:ascii="Times New Roman" w:hAnsi="Times New Roman" w:cs="Times New Roman"/>
        </w:rPr>
      </w:pPr>
      <w:r w:rsidRPr="00884EF2">
        <w:rPr>
          <w:rFonts w:ascii="Times New Roman" w:hAnsi="Times New Roman" w:cs="Times New Roman"/>
        </w:rPr>
        <w:t xml:space="preserve">Miller, Robert Stevens Jr. “Sex Discrimination and Title VII of the Civil Rights Act of 1964.” </w:t>
      </w:r>
      <w:r w:rsidRPr="00884EF2">
        <w:rPr>
          <w:rFonts w:ascii="Times New Roman" w:hAnsi="Times New Roman" w:cs="Times New Roman"/>
          <w:i/>
          <w:iCs/>
        </w:rPr>
        <w:t>Minnesota Law Review</w:t>
      </w:r>
      <w:r w:rsidRPr="00884EF2">
        <w:rPr>
          <w:rFonts w:ascii="Times New Roman" w:hAnsi="Times New Roman" w:cs="Times New Roman"/>
        </w:rPr>
        <w:t>, vol. 51, 1967 1966, p. 877.</w:t>
      </w:r>
    </w:p>
    <w:p w14:paraId="44518E1B" w14:textId="77777777" w:rsidR="00884EF2" w:rsidRPr="00616E21" w:rsidRDefault="00884EF2" w:rsidP="00616E21">
      <w:pPr>
        <w:ind w:firstLine="0"/>
      </w:pPr>
      <w:r>
        <w:fldChar w:fldCharType="end"/>
      </w:r>
    </w:p>
    <w:sectPr w:rsidR="00884EF2" w:rsidRPr="00616E2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FBBE" w14:textId="77777777" w:rsidR="00516B73" w:rsidRDefault="00516B73">
      <w:pPr>
        <w:spacing w:line="240" w:lineRule="auto"/>
      </w:pPr>
      <w:r>
        <w:separator/>
      </w:r>
    </w:p>
  </w:endnote>
  <w:endnote w:type="continuationSeparator" w:id="0">
    <w:p w14:paraId="1480F973" w14:textId="77777777" w:rsidR="00516B73" w:rsidRDefault="0051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1264" w14:textId="77777777" w:rsidR="00516B73" w:rsidRDefault="00516B73">
      <w:pPr>
        <w:spacing w:line="240" w:lineRule="auto"/>
      </w:pPr>
      <w:r>
        <w:separator/>
      </w:r>
    </w:p>
  </w:footnote>
  <w:footnote w:type="continuationSeparator" w:id="0">
    <w:p w14:paraId="4F9E9EA3" w14:textId="77777777" w:rsidR="00516B73" w:rsidRDefault="00516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BDDD" w14:textId="77777777" w:rsidR="00E614DD" w:rsidRDefault="00516B7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67D2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7FBE" w14:textId="77777777" w:rsidR="00E614DD" w:rsidRDefault="00516B7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67D2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A1867"/>
    <w:rsid w:val="001F62C0"/>
    <w:rsid w:val="00245E02"/>
    <w:rsid w:val="00353B66"/>
    <w:rsid w:val="00364805"/>
    <w:rsid w:val="00456604"/>
    <w:rsid w:val="00461A10"/>
    <w:rsid w:val="004A2675"/>
    <w:rsid w:val="004E7EA8"/>
    <w:rsid w:val="004F7139"/>
    <w:rsid w:val="00516B73"/>
    <w:rsid w:val="005525EB"/>
    <w:rsid w:val="0057093C"/>
    <w:rsid w:val="00616E21"/>
    <w:rsid w:val="00691EC1"/>
    <w:rsid w:val="007C53FB"/>
    <w:rsid w:val="00884EF2"/>
    <w:rsid w:val="008960E3"/>
    <w:rsid w:val="008B7D18"/>
    <w:rsid w:val="008F1F97"/>
    <w:rsid w:val="008F4052"/>
    <w:rsid w:val="00985A65"/>
    <w:rsid w:val="009B3B22"/>
    <w:rsid w:val="009D4EB3"/>
    <w:rsid w:val="00B13D1B"/>
    <w:rsid w:val="00B818DF"/>
    <w:rsid w:val="00B854E3"/>
    <w:rsid w:val="00BA1BAA"/>
    <w:rsid w:val="00CD3FEE"/>
    <w:rsid w:val="00D05A7B"/>
    <w:rsid w:val="00D52117"/>
    <w:rsid w:val="00D67D2B"/>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30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006BD9">
          <w:pPr>
            <w:pStyle w:val="77DB4CF9A5B74296853827B521A7D7AA"/>
          </w:pPr>
          <w:r>
            <w:t>Subtitle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1042C"/>
    <w:rsid w:val="00743071"/>
    <w:rsid w:val="00EE7FE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2019-12-07T09:31:00Z</dcterms:created>
  <dcterms:modified xsi:type="dcterms:W3CDTF">2019-12-07T09:35:00Z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id="L5X93yw0"/&gt;&lt;style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