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45" w:rsidRDefault="00DF6445" w:rsidP="00DF6445">
      <w:pPr>
        <w:spacing w:after="200" w:line="276" w:lineRule="auto"/>
        <w:jc w:val="center"/>
        <w:rPr>
          <w:b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Default="00DF6445" w:rsidP="00DF6445">
      <w:pPr>
        <w:spacing w:after="200" w:line="276" w:lineRule="auto"/>
        <w:jc w:val="center"/>
        <w:rPr>
          <w:szCs w:val="24"/>
        </w:rPr>
      </w:pPr>
    </w:p>
    <w:p w:rsidR="00DF6445" w:rsidRPr="00DF6445" w:rsidRDefault="00DF6445" w:rsidP="00DF6445">
      <w:pPr>
        <w:spacing w:after="200" w:line="276" w:lineRule="auto"/>
        <w:jc w:val="center"/>
        <w:rPr>
          <w:szCs w:val="24"/>
        </w:rPr>
      </w:pPr>
      <w:r w:rsidRPr="00DF6445">
        <w:rPr>
          <w:szCs w:val="24"/>
        </w:rPr>
        <w:t>BUACC5936:</w:t>
      </w:r>
      <w:r>
        <w:rPr>
          <w:szCs w:val="24"/>
        </w:rPr>
        <w:t xml:space="preserve"> </w:t>
      </w:r>
      <w:r w:rsidRPr="00DF6445">
        <w:rPr>
          <w:szCs w:val="24"/>
        </w:rPr>
        <w:t>Financial Management 2019 S1</w:t>
      </w:r>
    </w:p>
    <w:p w:rsidR="00DF6445" w:rsidRPr="00DF6445" w:rsidRDefault="00DF6445" w:rsidP="00DF6445">
      <w:pPr>
        <w:spacing w:after="200" w:line="276" w:lineRule="auto"/>
        <w:jc w:val="center"/>
        <w:rPr>
          <w:szCs w:val="24"/>
        </w:rPr>
      </w:pPr>
      <w:r w:rsidRPr="00DF6445">
        <w:rPr>
          <w:szCs w:val="24"/>
        </w:rPr>
        <w:t>Name</w:t>
      </w:r>
    </w:p>
    <w:p w:rsidR="00DF6445" w:rsidRPr="00DF6445" w:rsidRDefault="00DF6445" w:rsidP="00DF6445">
      <w:pPr>
        <w:spacing w:after="200" w:line="276" w:lineRule="auto"/>
        <w:jc w:val="center"/>
        <w:rPr>
          <w:szCs w:val="24"/>
        </w:rPr>
      </w:pPr>
      <w:r w:rsidRPr="00DF6445">
        <w:rPr>
          <w:szCs w:val="24"/>
        </w:rPr>
        <w:t>Course</w:t>
      </w:r>
    </w:p>
    <w:p w:rsidR="00DF6445" w:rsidRPr="00DF6445" w:rsidRDefault="00DF6445" w:rsidP="00DF6445">
      <w:pPr>
        <w:spacing w:after="200" w:line="276" w:lineRule="auto"/>
        <w:jc w:val="center"/>
        <w:rPr>
          <w:szCs w:val="24"/>
        </w:rPr>
      </w:pPr>
      <w:r w:rsidRPr="00DF6445">
        <w:rPr>
          <w:szCs w:val="24"/>
        </w:rPr>
        <w:t>Instructor</w:t>
      </w:r>
    </w:p>
    <w:p w:rsidR="00DF6445" w:rsidRPr="00DF6445" w:rsidRDefault="00DF6445" w:rsidP="00DF6445">
      <w:pPr>
        <w:spacing w:after="200" w:line="276" w:lineRule="auto"/>
        <w:jc w:val="center"/>
        <w:rPr>
          <w:szCs w:val="24"/>
        </w:rPr>
      </w:pPr>
      <w:r w:rsidRPr="00DF6445">
        <w:rPr>
          <w:szCs w:val="24"/>
        </w:rPr>
        <w:t>Institution</w:t>
      </w:r>
    </w:p>
    <w:p w:rsidR="00683E02" w:rsidRDefault="00DF6445" w:rsidP="00DF6445">
      <w:pPr>
        <w:spacing w:after="200" w:line="276" w:lineRule="auto"/>
        <w:jc w:val="center"/>
        <w:rPr>
          <w:b/>
        </w:rPr>
      </w:pPr>
      <w:r w:rsidRPr="00DF6445">
        <w:rPr>
          <w:szCs w:val="24"/>
        </w:rPr>
        <w:t>Date</w:t>
      </w:r>
      <w:r>
        <w:rPr>
          <w:b/>
          <w:sz w:val="32"/>
        </w:rPr>
        <w:t xml:space="preserve"> </w:t>
      </w:r>
      <w:r w:rsidR="00683E02">
        <w:rPr>
          <w:b/>
        </w:rPr>
        <w:br w:type="page"/>
      </w:r>
    </w:p>
    <w:p w:rsidR="00BE1499" w:rsidRDefault="00BE1499" w:rsidP="00BE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rPr>
          <w:b/>
        </w:rPr>
      </w:pPr>
      <w:r>
        <w:rPr>
          <w:b/>
        </w:rPr>
        <w:lastRenderedPageBreak/>
        <w:t xml:space="preserve">QUESTION </w:t>
      </w:r>
      <w:proofErr w:type="gramStart"/>
      <w:r>
        <w:rPr>
          <w:b/>
        </w:rPr>
        <w:t>ONE  Time</w:t>
      </w:r>
      <w:proofErr w:type="gramEnd"/>
      <w:r>
        <w:rPr>
          <w:b/>
        </w:rPr>
        <w:t xml:space="preserve"> Value of Money</w:t>
      </w:r>
    </w:p>
    <w:p w:rsidR="00BE1499" w:rsidRDefault="00BE1499"/>
    <w:p w:rsidR="00BC2B34" w:rsidRDefault="00AD309A" w:rsidP="00AD309A">
      <w:pPr>
        <w:pStyle w:val="ListParagraph"/>
        <w:numPr>
          <w:ilvl w:val="0"/>
          <w:numId w:val="1"/>
        </w:numPr>
      </w:pPr>
      <w:r>
        <w:t xml:space="preserve">The cash flow timeline is outlined below. There will be 12 funding P1 to P12 and then there will be 20 payments A1 to A20. </w:t>
      </w:r>
    </w:p>
    <w:p w:rsidR="008252E9" w:rsidRDefault="008252E9"/>
    <w:p w:rsidR="008252E9" w:rsidRDefault="008252E9"/>
    <w:p w:rsidR="008252E9" w:rsidRDefault="00F4052E" w:rsidP="00F4052E">
      <w:pPr>
        <w:tabs>
          <w:tab w:val="left" w:pos="1185"/>
          <w:tab w:val="left" w:pos="199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104775</wp:posOffset>
                </wp:positionV>
                <wp:extent cx="0" cy="476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8.25pt" to="413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1etQEAALYDAAAOAAAAZHJzL2Uyb0RvYy54bWysU8GO0zAQvSPxD5bvNG0FCxs13UNXcEFQ&#10;sfABXmfcWNgea2ya9u8ZO20WAUIIcXE89nsz854nm7uTd+IIlCyGTq4WSykgaOxtOHTyy+e3L95I&#10;kbIKvXIYoJNnSPJu+/zZZowtrHFA1wMJThJSO8ZODjnHtmmSHsCrtMAIgS8NkleZQzo0PamRs3vX&#10;rJfLm2ZE6iOhhpT49H66lNua3xjQ+aMxCbJwneTecl2pro9lbbYb1R5IxcHqSxvqH7rwygYuOqe6&#10;V1mJb2R/SeWtJkxo8kKjb9AYq6FqYDWr5U9qHgYVoWphc1KcbUr/L63+cNyTsH0nb6UIyvMTPWRS&#10;9jBkscMQ2EAkcVt8GmNqGb4Le7pEKe6piD4Z8uXLcsSpenuevYVTFno61Hz68vXN+lW1vXniRUr5&#10;HaAXZdNJZ0NRrVp1fJ8y12LoFcJB6WOqXHf57KCAXfgEhpVwrVVl1xmCnSNxVPz6/ddVUcG5KrJQ&#10;jHVuJi3/TLpgCw3qXP0tcUbXihjyTPQ2IP2uaj5dWzUT/qp60lpkP2J/ru9Q7eDhqMoug1ym78e4&#10;0p9+t+13AAAA//8DAFBLAwQUAAYACAAAACEAoSiuo90AAAAJAQAADwAAAGRycy9kb3ducmV2Lnht&#10;bEyPMU/DMBCFdyT+g3VI3ajTSm1DiFMhKBMMacrA6MZHEjU+R7GbBH49VzHQ6XT3nt59L91OthUD&#10;9r5xpGAxj0Aglc40VCn4OLzexyB80GR06wgVfKOHbXZ7k+rEuJH2OBShEhxCPtEK6hC6REpf1mi1&#10;n7sOibUv11sdeO0raXo9crht5TKK1tLqhvhDrTt8rrE8FWerYLN7K/JufHn/yeVG5vngQnz6VGp2&#10;Nz09ggg4hX8zXPAZHTJmOrozGS9aBfFyvWIrC5fJhr/DUcHDYgUyS+V1g+wXAAD//wMAUEsBAi0A&#10;FAAGAAgAAAAhALaDOJL+AAAA4QEAABMAAAAAAAAAAAAAAAAAAAAAAFtDb250ZW50X1R5cGVzXS54&#10;bWxQSwECLQAUAAYACAAAACEAOP0h/9YAAACUAQAACwAAAAAAAAAAAAAAAAAvAQAAX3JlbHMvLnJl&#10;bHNQSwECLQAUAAYACAAAACEAllitXrUBAAC2AwAADgAAAAAAAAAAAAAAAAAuAgAAZHJzL2Uyb0Rv&#10;Yy54bWxQSwECLQAUAAYACAAAACEAoSiuo90AAAAJAQAADwAAAAAAAAAAAAAAAAAPBAAAZHJzL2Rv&#10;d25yZXYueG1sUEsFBgAAAAAEAAQA8wAAABkFAAAAAA==&#10;" strokecolor="black [3040]"/>
            </w:pict>
          </mc:Fallback>
        </mc:AlternateContent>
      </w:r>
      <w:r w:rsidR="00550B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104775</wp:posOffset>
                </wp:positionV>
                <wp:extent cx="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8.25pt" to="264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mVtQEAALYDAAAOAAAAZHJzL2Uyb0RvYy54bWysU8GO0zAQvSPxD5bvNG0Fyypquoeu4IKg&#10;YtkP8DrjxsL2WGPTpn/P2GmzCBBCiIvjsd+bmfc82dyN3okjULIYOrlaLKWAoLG34dDJxy/vXt1K&#10;kbIKvXIYoJNnSPJu+/LF5hRbWOOArgcSnCSk9hQ7OeQc26ZJegCv0gIjBL40SF5lDunQ9KROnN27&#10;Zr1c3jQnpD4SakiJT++nS7mt+Y0BnT8ZkyAL10nuLdeV6vpU1ma7Ue2BVBysvrSh/qELr2zgonOq&#10;e5WV+Eb2l1TeasKEJi80+gaNsRqqBlazWv6k5mFQEaoWNifF2ab0/9Lqj8c9Cdt3kh8qKM9P9JBJ&#10;2cOQxQ5DYAORxG3x6RRTy/Bd2NMlSnFPRfRoyJcvyxFj9fY8ewtjFno61Hz6+u3N+k21vXnmRUr5&#10;PaAXZdNJZ0NRrVp1/JAy12LoFcJB6WOqXHf57KCAXfgMhpVwrVVl1xmCnSNxVPz6/ddVUcG5KrJQ&#10;jHVuJi3/TLpgCw3qXP0tcUbXihjyTPQ2IP2uah6vrZoJf1U9aS2yn7A/13eodvBwVGWXQS7T92Nc&#10;6c+/2/Y7AAAA//8DAFBLAwQUAAYACAAAACEA6LG9dd4AAAAJAQAADwAAAGRycy9kb3ducmV2Lnht&#10;bEyPzU7DMBCE70i8g7VIvVGnldKfEKdCQE9wSFMOHN14SaLG6yh2k8DTs4gDPa12ZzT7TbqbbCsG&#10;7H3jSMFiHoFAKp1pqFLwftzfb0D4oMno1hEq+EIPu+z2JtWJcSMdcChCJTiEfKIV1CF0iZS+rNFq&#10;P3cdEmufrrc68NpX0vR65HDbymUUraTVDfGHWnf4VGN5Li5Wwfrltci78fntO5drmeeDC5vzh1Kz&#10;u+nxAUTAKfyb4Ref0SFjppO7kPGiVRAvtzFbWVjxZMPf4aRgu4hBZqm8bpD9AAAA//8DAFBLAQIt&#10;ABQABgAIAAAAIQC2gziS/gAAAOEBAAATAAAAAAAAAAAAAAAAAAAAAABbQ29udGVudF9UeXBlc10u&#10;eG1sUEsBAi0AFAAGAAgAAAAhADj9If/WAAAAlAEAAAsAAAAAAAAAAAAAAAAALwEAAF9yZWxzLy5y&#10;ZWxzUEsBAi0AFAAGAAgAAAAhANfxKZW1AQAAtgMAAA4AAAAAAAAAAAAAAAAALgIAAGRycy9lMm9E&#10;b2MueG1sUEsBAi0AFAAGAAgAAAAhAOixvXXeAAAACQEAAA8AAAAAAAAAAAAAAAAADwQAAGRycy9k&#10;b3ducmV2LnhtbFBLBQYAAAAABAAEAPMAAAAaBQAAAAA=&#10;" strokecolor="black [3040]"/>
            </w:pict>
          </mc:Fallback>
        </mc:AlternateContent>
      </w:r>
      <w:r w:rsidR="00550B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104775</wp:posOffset>
                </wp:positionV>
                <wp:extent cx="0" cy="476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8.25pt" to="229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GrtAEAALYDAAAOAAAAZHJzL2Uyb0RvYy54bWysU8GO0zAQvSPxD5bvNG0FBUVN99AVXBBU&#10;LHyA1xk3FrbHGps2/XvGTptFgBBCXByP/d7MvOfJ9m70TpyAksXQydViKQUEjb0Nx05++fz2xRsp&#10;UlahVw4DdPICSd7tnj/bnmMLaxzQ9UCCk4TUnmMnh5xj2zRJD+BVWmCEwJcGyavMIR2bntSZs3vX&#10;rJfLTXNG6iOhhpT49H66lLua3xjQ+aMxCbJwneTecl2pro9lbXZb1R5JxcHqaxvqH7rwygYuOqe6&#10;V1mJb2R/SeWtJkxo8kKjb9AYq6FqYDWr5U9qHgYVoWphc1KcbUr/L63+cDqQsH0nN1IE5fmJHjIp&#10;exyy2GMIbCCS2BSfzjG1DN+HA12jFA9URI+GfPmyHDFWby+ztzBmoadDzacvX2/Wr6rtzRMvUsrv&#10;AL0om046G4pq1arT+5S5FkNvEA5KH1PlussXBwXswicwrIRrrSq7zhDsHYmT4tfvv66KCs5VkYVi&#10;rHMzafln0hVbaFDn6m+JM7pWxJBnorcB6XdV83hr1Uz4m+pJa5H9iP2lvkO1g4ejKrsOcpm+H+NK&#10;f/rddt8BAAD//wMAUEsDBBQABgAIAAAAIQBuPYr73gAAAAkBAAAPAAAAZHJzL2Rvd25yZXYueG1s&#10;TI9LT8MwEITvSP0P1iJxo04R6SPEqSoeJzikgQNHN16SqPE6it0k8OtZ1AM97sxo9pt0O9lWDNj7&#10;xpGCxTwCgVQ601Cl4OP95XYNwgdNRreOUME3ethms6tUJ8aNtMehCJXgEvKJVlCH0CVS+rJGq/3c&#10;dUjsfbne6sBnX0nT65HLbSvvomgprW6IP9S6w8cay2NxsgpWz69F3o1Pbz+5XMk8H1xYHz+Vurme&#10;dg8gAk7hPwx/+IwOGTMd3ImMF62C+3jDWwIbyxgEB87CQcFmEYPMUnm5IPsFAAD//wMAUEsBAi0A&#10;FAAGAAgAAAAhALaDOJL+AAAA4QEAABMAAAAAAAAAAAAAAAAAAAAAAFtDb250ZW50X1R5cGVzXS54&#10;bWxQSwECLQAUAAYACAAAACEAOP0h/9YAAACUAQAACwAAAAAAAAAAAAAAAAAvAQAAX3JlbHMvLnJl&#10;bHNQSwECLQAUAAYACAAAACEA31kxq7QBAAC2AwAADgAAAAAAAAAAAAAAAAAuAgAAZHJzL2Uyb0Rv&#10;Yy54bWxQSwECLQAUAAYACAAAACEAbj2K+94AAAAJAQAADwAAAAAAAAAAAAAAAAAOBAAAZHJzL2Rv&#10;d25yZXYueG1sUEsFBgAAAAAEAAQA8wAAABkFAAAAAA==&#10;" strokecolor="black [3040]"/>
            </w:pict>
          </mc:Fallback>
        </mc:AlternateContent>
      </w:r>
      <w:r w:rsidR="00AA7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104775</wp:posOffset>
                </wp:positionV>
                <wp:extent cx="9525" cy="4762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8.25pt" to="188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tbuQEAALkDAAAOAAAAZHJzL2Uyb0RvYy54bWysU02P0zAQvSPxHyzfadKKLhA13UNXcEFQ&#10;sfADvM64sbA91tj0498zdtssAoTQai+Ox35vZt7zZHV79E7sgZLF0Mv5rJUCgsbBhl0vv319/+qt&#10;FCmrMCiHAXp5giRv1y9frA6xgwWO6AYgwUlC6g6xl2POsWuapEfwKs0wQuBLg+RV5pB2zUDqwNm9&#10;axZte9MckIZIqCElPr07X8p1zW8M6PzZmARZuF5yb7muVNeHsjbrlep2pOJo9aUN9YQuvLKBi06p&#10;7lRW4gfZP1J5qwkTmjzT6Bs0xmqoGljNvP1Nzf2oIlQtbE6Kk03p+dLqT/stCTv0cilFUJ6f6D6T&#10;srsxiw2GwAYiiWXx6RBTx/BN2NIlSnFLRfTRkC9fliOO1dvT5C0cs9B8+G654AqaL16/uVksq/PN&#10;IzVSyh8AvSibXjobinDVqf3HlLkcQ68QDkor5+J1l08OCtiFL2BYDJebV3YdI9g4EnvFAzB8nxch&#10;nKsiC8VY5yZS+2/SBVtoUEfrf4kTulbEkCeitwHpb1Xz8dqqOeOvqs9ai+wHHE71KaodPB9V2WWW&#10;ywD+Glf64x+3/gkAAP//AwBQSwMEFAAGAAgAAAAhAKm2bEvfAAAACQEAAA8AAABkcnMvZG93bnJl&#10;di54bWxMj81OwzAQhO9IvIO1SNyoU6o0bYhTIX5OcAiBQ49uvCRR43UUu0ng6dmeym1HM5r9JtvN&#10;thMjDr51pGC5iEAgVc60VCv4+ny924DwQZPRnSNU8IMedvn1VaZT4yb6wLEMteAS8qlW0ITQp1L6&#10;qkGr/cL1SOx9u8HqwHKopRn0xOW2k/dRtJZWt8QfGt3jU4PVsTxZBcnLW1n00/P7byETWRSjC5vj&#10;Xqnbm/nxAUTAOVzCcMZndMiZ6eBOZLzoFKySmLcENtYxCA6skvNxULBdxiDzTP5fkP8BAAD//wMA&#10;UEsBAi0AFAAGAAgAAAAhALaDOJL+AAAA4QEAABMAAAAAAAAAAAAAAAAAAAAAAFtDb250ZW50X1R5&#10;cGVzXS54bWxQSwECLQAUAAYACAAAACEAOP0h/9YAAACUAQAACwAAAAAAAAAAAAAAAAAvAQAAX3Jl&#10;bHMvLnJlbHNQSwECLQAUAAYACAAAACEAXxcLW7kBAAC5AwAADgAAAAAAAAAAAAAAAAAuAgAAZHJz&#10;L2Uyb0RvYy54bWxQSwECLQAUAAYACAAAACEAqbZsS98AAAAJAQAADwAAAAAAAAAAAAAAAAATBAAA&#10;ZHJzL2Rvd25yZXYueG1sUEsFBgAAAAAEAAQA8wAAAB8FAAAAAA==&#10;" strokecolor="black [3040]"/>
            </w:pict>
          </mc:Fallback>
        </mc:AlternateContent>
      </w:r>
      <w:r w:rsidR="00AA7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AEB4D" wp14:editId="0DC1E86E">
                <wp:simplePos x="0" y="0"/>
                <wp:positionH relativeFrom="column">
                  <wp:posOffset>1076325</wp:posOffset>
                </wp:positionH>
                <wp:positionV relativeFrom="paragraph">
                  <wp:posOffset>104775</wp:posOffset>
                </wp:positionV>
                <wp:extent cx="0" cy="4762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8.25pt" to="84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nntgEAALYDAAAOAAAAZHJzL2Uyb0RvYy54bWysU8tu2zAQvBfIPxC815INNy0Eyzk4aC5F&#10;azTNBzDU0iLKF5asJf99l5StFElRFEEuFJec2d0ZrjY3ozXsCBi1dy1fLmrOwEnfaXdo+cOPz+8/&#10;cRaTcJ0w3kHLTxD5zfbq3WYIDax8700HyCiJi80QWt6nFJqqirIHK+LCB3B0qTxakSjEQ9WhGCi7&#10;NdWqrq+rwWMX0EuIkU5vp0u+LfmVApm+KRUhMdNy6i2VFcv6mNdquxHNAUXotTy3IV7RhRXaUdE5&#10;1a1Igv1C/SKV1RJ99CotpLeVV0pLKBpIzbJ+pua+FwGKFjInhtmm+HZp5dfjHpnuWr7mzAlLT3Sf&#10;UOhDn9jOO0cGemTr7NMQYkPwndvjOYphj1n0qNDmL8lhY/H2NHsLY2JyOpR0uv54vfpQbK+eeAFj&#10;ugNvWd603GiXVYtGHL/ERLUIeoFQkPuYKpddOhnIYOO+gyIlVGtZ2GWGYGeQHQW9fvdzmVVQroLM&#10;FKWNmUn1v0lnbKZBmav/Jc7oUtG7NBOtdh7/VjWNl1bVhL+onrRm2Y++O5V3KHbQcBRl50HO0/dn&#10;XOhPv9v2NwAAAP//AwBQSwMEFAAGAAgAAAAhAMEckoncAAAACQEAAA8AAABkcnMvZG93bnJldi54&#10;bWxMj09PwzAMxe9IfIfISNxYOqT9K02nacAJDl3HgWPWmLZa41RN1hY+PS4XdrKf/fT8c7IdbSN6&#10;7HztSMF8FoFAKpypqVTwcXx9WIPwQZPRjSNU8I0etuntTaJj4wY6YJ+HUnAI+VgrqEJoYyl9UaHV&#10;fuZaJN59uc7qwLIrpen0wOG2kY9RtJRW18QXKt3ivsLinF+sgtXLW561w/P7TyZXMst6F9bnT6Xu&#10;78bdE4iAY/g3w4TP6JAy08ldyHjRsF5uFmydGq6T4W9wUrCZL0Cmibz+IP0FAAD//wMAUEsBAi0A&#10;FAAGAAgAAAAhALaDOJL+AAAA4QEAABMAAAAAAAAAAAAAAAAAAAAAAFtDb250ZW50X1R5cGVzXS54&#10;bWxQSwECLQAUAAYACAAAACEAOP0h/9YAAACUAQAACwAAAAAAAAAAAAAAAAAvAQAAX3JlbHMvLnJl&#10;bHNQSwECLQAUAAYACAAAACEAHA1J57YBAAC2AwAADgAAAAAAAAAAAAAAAAAuAgAAZHJzL2Uyb0Rv&#10;Yy54bWxQSwECLQAUAAYACAAAACEAwRySidwAAAAJAQAADwAAAAAAAAAAAAAAAAAQBAAAZHJzL2Rv&#10;d25yZXYueG1sUEsFBgAAAAAEAAQA8wAAABkFAAAAAA==&#10;" strokecolor="black [3040]"/>
            </w:pict>
          </mc:Fallback>
        </mc:AlternateContent>
      </w:r>
      <w:r w:rsidR="00AA7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F29F7" wp14:editId="7D599E4D">
                <wp:simplePos x="0" y="0"/>
                <wp:positionH relativeFrom="column">
                  <wp:posOffset>533400</wp:posOffset>
                </wp:positionH>
                <wp:positionV relativeFrom="paragraph">
                  <wp:posOffset>104775</wp:posOffset>
                </wp:positionV>
                <wp:extent cx="0" cy="4762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25pt" to="4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4tQEAALYDAAAOAAAAZHJzL2Uyb0RvYy54bWysU8GO0zAQvSPxD5bvNG0XFhQ13UNXcEFQ&#10;sfABXmfcWNgea2ya9u8ZO20WAUIIcXE89nsz854nm7uTd+IIlCyGTq4WSykgaOxtOHTyy+e3L95I&#10;kbIKvXIYoJNnSPJu+/zZZowtrHFA1wMJThJSO8ZODjnHtmmSHsCrtMAIgS8NkleZQzo0PamRs3vX&#10;rJfL22ZE6iOhhpT49H66lNua3xjQ+aMxCbJwneTecl2pro9lbbYb1R5IxcHqSxvqH7rwygYuOqe6&#10;V1mJb2R/SeWtJkxo8kKjb9AYq6FqYDWr5U9qHgYVoWphc1KcbUr/L63+cNyTsH0nb6QIyvMTPWRS&#10;9jBkscMQ2EAkcVN8GmNqGb4Le7pEKe6piD4Z8uXLcsSpenuevYVTFno61Hz68vXt+lW1vXniRUr5&#10;HaAXZdNJZ0NRrVp1fJ8y12LoFcJB6WOqXHf57KCAXfgEhpVwrVVl1xmCnSNxVPz6/ddVUcG5KrJQ&#10;jHVuJi3/TLpgCw3qXP0tcUbXihjyTPQ2IP2uaj5dWzUT/qp60lpkP2J/ru9Q7eDhqMoug1ym78e4&#10;0p9+t+13AAAA//8DAFBLAwQUAAYACAAAACEA9FAGAdwAAAAHAQAADwAAAGRycy9kb3ducmV2Lnht&#10;bEyPzU7DMBCE70h9B2uRuFGnqD8hxKkqCqdyCIEDRzdekqjxOordJPD0XbjAcXZWM9+k28m2YsDe&#10;N44ULOYRCKTSmYYqBe9vz7cxCB80Gd06QgVf6GGbza5SnRg30isORagEh5BPtII6hC6R0pc1Wu3n&#10;rkNi79P1VgeWfSVNr0cOt628i6K1tLohbqh1h481lqfibBVsng5F3o37l+9cbmSeDy7Epw+lbq6n&#10;3QOIgFP4e4YffEaHjJmO7kzGi1ZBvOQpge/rFQj2f/VRwf1iBTJL5X/+7AIAAP//AwBQSwECLQAU&#10;AAYACAAAACEAtoM4kv4AAADhAQAAEwAAAAAAAAAAAAAAAAAAAAAAW0NvbnRlbnRfVHlwZXNdLnht&#10;bFBLAQItABQABgAIAAAAIQA4/SH/1gAAAJQBAAALAAAAAAAAAAAAAAAAAC8BAABfcmVscy8ucmVs&#10;c1BLAQItABQABgAIAAAAIQAYWUX4tQEAALYDAAAOAAAAAAAAAAAAAAAAAC4CAABkcnMvZTJvRG9j&#10;LnhtbFBLAQItABQABgAIAAAAIQD0UAYB3AAAAAcBAAAPAAAAAAAAAAAAAAAAAA8EAABkcnMvZG93&#10;bnJldi54bWxQSwUGAAAAAAQABADzAAAAGAUAAAAA&#10;" strokecolor="black [3040]"/>
            </w:pict>
          </mc:Fallback>
        </mc:AlternateContent>
      </w:r>
      <w:r>
        <w:t>t=0</w:t>
      </w:r>
      <w:r>
        <w:tab/>
        <w:t>t=1</w:t>
      </w:r>
      <w:r>
        <w:tab/>
        <w:t>t=2</w:t>
      </w:r>
      <w:r w:rsidR="00A01990">
        <w:t>------------------ t</w:t>
      </w:r>
      <w:r w:rsidR="00517679">
        <w:t>=12       t=13     t=14------------------------------ t=13</w:t>
      </w:r>
    </w:p>
    <w:p w:rsidR="008252E9" w:rsidRDefault="00540E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0F4E" wp14:editId="185E03C5">
                <wp:simplePos x="0" y="0"/>
                <wp:positionH relativeFrom="column">
                  <wp:posOffset>28575</wp:posOffset>
                </wp:positionH>
                <wp:positionV relativeFrom="paragraph">
                  <wp:posOffset>24765</wp:posOffset>
                </wp:positionV>
                <wp:extent cx="521970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.95pt" to="413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HIxQEAAMUDAAAOAAAAZHJzL2Uyb0RvYy54bWysU02P0zAQvSPxHyzfaT6kshA13UNXcEFQ&#10;sSx3r2M3FrbHGpum/feMnTYgPqTViouVsd+8mfdmsrk9OcuOCqMB3/NmVXOmvITB+EPPH768e/WG&#10;s5iEH4QFr3p+VpHfbl++2EyhUy2MYAeFjEh87KbQ8zGl0FVVlKNyIq4gKE+PGtCJRCEeqgHFROzO&#10;Vm1dv64mwCEgSBUj3d7Nj3xb+LVWMn3SOqrEbM+pt1ROLOdjPqvtRnQHFGE08tKGeEYXThhPRReq&#10;O5EE+47mDypnJEIEnVYSXAVaG6mKBlLT1L+puR9FUEULmRPDYlP8f7Ty43GPzAw9bznzwtGI7hMK&#10;cxgT24H3ZCAga7NPU4gdwXd+j5cohj1m0SeNjmlrwldagWIDCWOn4vJ5cVmdEpN0uW6btzc1DUPS&#10;2/qmWZcpVDNNpgsY03sFjuWPnlvjswmiE8cPMVFpgl4hFOS25kbKVzpblcHWf1aahFHBuaWyUmpn&#10;kR0FLcPwrcmiiKsgc4o21i5JdSn5z6QLNqepsmZPTVzQpSL4tCQ64wH/VjWdrq3qGX9VPWvNsh9h&#10;OJexFDtoV4qyy17nZfw1Luk//77tDwAAAP//AwBQSwMEFAAGAAgAAAAhAKJul2LbAAAABgEAAA8A&#10;AABkcnMvZG93bnJldi54bWxMjsFOwzAQRO9I/IO1SFwq6hBomoY4FarEBQ5A6Qc4yZJE2OsQu6n7&#10;9ywnOI7maeaV22iNmHHygyMFt8sEBFLj2oE6BYePp5schA+aWm0coYIzethWlxelLlp3onec96ET&#10;PEK+0Ar6EMZCSt/0aLVfuhGJu083WR04Tp1sJ33icWtkmiSZtHogfuj1iLsem6/90Sp4fn1bnNOY&#10;Lb7Xq3oX59zEF2+Uur6Kjw8gAsbwB8OvPqtDxU61O1LrhVFwv2JQwd0GBLd5mnGuGUs3IKtS/tev&#10;fgAAAP//AwBQSwECLQAUAAYACAAAACEAtoM4kv4AAADhAQAAEwAAAAAAAAAAAAAAAAAAAAAAW0Nv&#10;bnRlbnRfVHlwZXNdLnhtbFBLAQItABQABgAIAAAAIQA4/SH/1gAAAJQBAAALAAAAAAAAAAAAAAAA&#10;AC8BAABfcmVscy8ucmVsc1BLAQItABQABgAIAAAAIQAHwWHIxQEAAMUDAAAOAAAAAAAAAAAAAAAA&#10;AC4CAABkcnMvZTJvRG9jLnhtbFBLAQItABQABgAIAAAAIQCibpdi2wAAAAYBAAAPAAAAAAAAAAAA&#10;AAAAAB8EAABkcnMvZG93bnJldi54bWxQSwUGAAAAAAQABADzAAAAJwUAAAAA&#10;" strokecolor="black [3040]"/>
            </w:pict>
          </mc:Fallback>
        </mc:AlternateContent>
      </w:r>
    </w:p>
    <w:p w:rsidR="008252E9" w:rsidRDefault="008252E9"/>
    <w:p w:rsidR="008252E9" w:rsidRDefault="00A01990">
      <w:r>
        <w:t xml:space="preserve">               p1          p2                              p12        A1      A2                                             A20</w:t>
      </w:r>
    </w:p>
    <w:p w:rsidR="008252E9" w:rsidRDefault="008252E9"/>
    <w:p w:rsidR="00BC2B34" w:rsidRDefault="00BC2B34" w:rsidP="00ED3E2A">
      <w:pPr>
        <w:pStyle w:val="ListParagraph"/>
        <w:numPr>
          <w:ilvl w:val="0"/>
          <w:numId w:val="1"/>
        </w:numPr>
        <w:spacing w:line="480" w:lineRule="auto"/>
      </w:pPr>
    </w:p>
    <w:p w:rsidR="00C81C3A" w:rsidRPr="00C81C3A" w:rsidRDefault="00C81C3A" w:rsidP="00ED3E2A">
      <w:pPr>
        <w:spacing w:line="480" w:lineRule="auto"/>
        <w:contextualSpacing/>
        <w:rPr>
          <w:rFonts w:cstheme="minorHAnsi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24"/>
            </w:rPr>
            <m:t>PMT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Cs w:val="24"/>
                        </w:rPr>
                        <m:t>-n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Cs w:val="24"/>
                    </w:rPr>
                    <m:t>r</m:t>
                  </m:r>
                </m:den>
              </m:f>
            </m:e>
          </m:d>
        </m:oMath>
      </m:oMathPara>
    </w:p>
    <w:p w:rsidR="00C81C3A" w:rsidRPr="00C81C3A" w:rsidRDefault="00C81C3A" w:rsidP="00ED3E2A">
      <w:pPr>
        <w:spacing w:line="480" w:lineRule="auto"/>
        <w:ind w:left="360"/>
        <w:contextualSpacing/>
        <w:rPr>
          <w:rFonts w:cstheme="minorHAnsi"/>
          <w:szCs w:val="24"/>
        </w:rPr>
      </w:pPr>
      <w:r w:rsidRPr="00C81C3A">
        <w:rPr>
          <w:rFonts w:eastAsiaTheme="minorEastAsia" w:cstheme="minorHAnsi"/>
          <w:szCs w:val="24"/>
        </w:rPr>
        <w:t>* PMT = amount of annuity.</w:t>
      </w:r>
    </w:p>
    <w:p w:rsidR="00C81C3A" w:rsidRPr="00C81C3A" w:rsidRDefault="00C81C3A" w:rsidP="00ED3E2A">
      <w:pPr>
        <w:spacing w:line="480" w:lineRule="auto"/>
        <w:ind w:left="360"/>
        <w:contextualSpacing/>
        <w:rPr>
          <w:rFonts w:eastAsiaTheme="minorEastAsia" w:cstheme="minorHAnsi"/>
          <w:szCs w:val="24"/>
        </w:rPr>
      </w:pPr>
      <w:r w:rsidRPr="00C81C3A">
        <w:rPr>
          <w:rFonts w:eastAsiaTheme="minorEastAsia" w:cstheme="minorHAnsi"/>
          <w:szCs w:val="24"/>
        </w:rPr>
        <w:t>* i = interest amount</w:t>
      </w:r>
    </w:p>
    <w:p w:rsidR="00C81C3A" w:rsidRPr="00C81C3A" w:rsidRDefault="00C81C3A" w:rsidP="00ED3E2A">
      <w:pPr>
        <w:spacing w:line="480" w:lineRule="auto"/>
        <w:ind w:left="360"/>
        <w:contextualSpacing/>
        <w:rPr>
          <w:rFonts w:eastAsiaTheme="minorEastAsia" w:cstheme="minorHAnsi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Cs w:val="24"/>
            </w:rPr>
            <m:t>42000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Cs w:val="24"/>
                            </w:rPr>
                            <m:t>1+12%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Cs w:val="24"/>
                        </w:rPr>
                        <m:t>-20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12%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  <w:szCs w:val="24"/>
            </w:rPr>
            <m:t>=313716.63</m:t>
          </m:r>
        </m:oMath>
      </m:oMathPara>
    </w:p>
    <w:p w:rsidR="00576D2E" w:rsidRPr="002165FA" w:rsidRDefault="00576D2E" w:rsidP="00ED3E2A">
      <w:pPr>
        <w:spacing w:line="480" w:lineRule="auto"/>
        <w:ind w:left="360"/>
        <w:contextualSpacing/>
        <w:rPr>
          <w:rFonts w:eastAsiaTheme="minorEastAsia" w:cstheme="minorHAnsi"/>
          <w:szCs w:val="24"/>
        </w:rPr>
      </w:pPr>
      <w:r w:rsidRPr="00C81C3A">
        <w:rPr>
          <w:rFonts w:eastAsiaTheme="minorEastAsia" w:cstheme="minorHAnsi"/>
          <w:szCs w:val="24"/>
        </w:rPr>
        <w:t>$313,716.63</w:t>
      </w:r>
      <w:r w:rsidR="00C81C3A">
        <w:rPr>
          <w:rFonts w:eastAsiaTheme="minorEastAsia" w:cstheme="minorHAnsi"/>
          <w:szCs w:val="24"/>
        </w:rPr>
        <w:t xml:space="preserve"> is the </w:t>
      </w:r>
      <w:r w:rsidR="00C81C3A" w:rsidRPr="002165FA">
        <w:rPr>
          <w:rFonts w:eastAsiaTheme="minorEastAsia" w:cstheme="minorHAnsi"/>
          <w:szCs w:val="24"/>
        </w:rPr>
        <w:t>amount required by the end of year 12</w:t>
      </w:r>
    </w:p>
    <w:p w:rsidR="00C81C3A" w:rsidRDefault="00C81C3A" w:rsidP="00ED3E2A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szCs w:val="24"/>
        </w:rPr>
      </w:pPr>
    </w:p>
    <w:p w:rsidR="00ED3E2A" w:rsidRPr="00ED3E2A" w:rsidRDefault="00ED3E2A" w:rsidP="00ED3E2A">
      <w:pPr>
        <w:spacing w:line="480" w:lineRule="auto"/>
        <w:ind w:left="360"/>
        <w:contextualSpacing/>
        <w:rPr>
          <w:rFonts w:eastAsiaTheme="minorEastAsia" w:cstheme="minorHAnsi"/>
          <w:szCs w:val="24"/>
        </w:rPr>
      </w:pPr>
      <m:oMath>
        <m:r>
          <w:rPr>
            <w:rFonts w:ascii="Cambria Math" w:hAnsi="Cambria Math" w:cstheme="minorHAnsi"/>
            <w:szCs w:val="24"/>
          </w:rPr>
          <m:t>FV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n-1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r</m:t>
                </m:r>
              </m:den>
            </m:f>
          </m:e>
        </m:d>
      </m:oMath>
      <w:r>
        <w:rPr>
          <w:rFonts w:eastAsiaTheme="minorEastAsia" w:cstheme="minorHAnsi"/>
          <w:szCs w:val="24"/>
        </w:rPr>
        <w:t xml:space="preserve"> </w:t>
      </w:r>
    </w:p>
    <w:p w:rsidR="00ED3E2A" w:rsidRPr="00ED3E2A" w:rsidRDefault="00ED3E2A" w:rsidP="00ED3E2A">
      <w:pPr>
        <w:spacing w:line="480" w:lineRule="auto"/>
        <w:ind w:left="360"/>
        <w:contextualSpacing/>
        <w:rPr>
          <w:rFonts w:eastAsiaTheme="minorEastAsia" w:cstheme="minorHAnsi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24"/>
            </w:rPr>
            <m:t>313716.63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1+9%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Cs w:val="24"/>
                        </w:rPr>
                        <m:t>12-1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Cs w:val="24"/>
                    </w:rPr>
                    <m:t>9%</m:t>
                  </m:r>
                </m:den>
              </m:f>
            </m:e>
          </m:d>
          <m:r>
            <w:rPr>
              <w:rFonts w:ascii="Cambria Math" w:hAnsi="Cambria Math" w:cstheme="minorHAnsi"/>
              <w:szCs w:val="24"/>
            </w:rPr>
            <m:t>=15576.24</m:t>
          </m:r>
        </m:oMath>
      </m:oMathPara>
    </w:p>
    <w:p w:rsidR="00ED3E2A" w:rsidRPr="002165FA" w:rsidRDefault="00ED3E2A" w:rsidP="002165FA">
      <w:pPr>
        <w:spacing w:line="480" w:lineRule="auto"/>
        <w:ind w:left="360"/>
        <w:contextualSpacing/>
        <w:rPr>
          <w:rFonts w:eastAsiaTheme="minorHAnsi"/>
          <w:szCs w:val="24"/>
        </w:rPr>
      </w:pPr>
      <w:r w:rsidRPr="002165FA">
        <w:rPr>
          <w:szCs w:val="24"/>
        </w:rPr>
        <w:t>Annual Deposit = $15,576.24</w:t>
      </w:r>
    </w:p>
    <w:p w:rsidR="00C81C3A" w:rsidRPr="002165FA" w:rsidRDefault="00C81C3A" w:rsidP="002165FA">
      <w:pPr>
        <w:spacing w:line="480" w:lineRule="auto"/>
        <w:contextualSpacing/>
        <w:rPr>
          <w:rFonts w:eastAsiaTheme="minorEastAsia"/>
          <w:szCs w:val="24"/>
        </w:rPr>
      </w:pPr>
    </w:p>
    <w:p w:rsidR="00942E1A" w:rsidRPr="002165FA" w:rsidRDefault="00942E1A" w:rsidP="002165FA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</w:p>
    <w:tbl>
      <w:tblPr>
        <w:tblStyle w:val="LightShading"/>
        <w:tblW w:w="6940" w:type="dxa"/>
        <w:tblLook w:val="04A0" w:firstRow="1" w:lastRow="0" w:firstColumn="1" w:lastColumn="0" w:noHBand="0" w:noVBand="1"/>
      </w:tblPr>
      <w:tblGrid>
        <w:gridCol w:w="1663"/>
        <w:gridCol w:w="276"/>
        <w:gridCol w:w="1416"/>
        <w:gridCol w:w="940"/>
        <w:gridCol w:w="940"/>
        <w:gridCol w:w="940"/>
        <w:gridCol w:w="940"/>
      </w:tblGrid>
      <w:tr w:rsidR="002165FA" w:rsidRPr="00ED3E2A" w:rsidTr="004D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FV needed</w:t>
            </w:r>
          </w:p>
        </w:tc>
        <w:tc>
          <w:tcPr>
            <w:tcW w:w="130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 xml:space="preserve">$313,716.63 </w:t>
            </w: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</w:tr>
      <w:tr w:rsidR="002165FA" w:rsidRPr="002165FA" w:rsidTr="004D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Period</w:t>
            </w:r>
          </w:p>
        </w:tc>
        <w:tc>
          <w:tcPr>
            <w:tcW w:w="217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ED3E2A" w:rsidRPr="00ED3E2A" w:rsidRDefault="004D778A" w:rsidP="002165F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2165FA">
              <w:rPr>
                <w:color w:val="auto"/>
                <w:szCs w:val="24"/>
                <w:lang w:val="en-US"/>
              </w:rPr>
              <w:t xml:space="preserve">  </w:t>
            </w:r>
            <w:r w:rsidR="00ED3E2A" w:rsidRPr="00ED3E2A">
              <w:rPr>
                <w:color w:val="auto"/>
                <w:szCs w:val="24"/>
                <w:lang w:val="en-US"/>
              </w:rPr>
              <w:t>12</w:t>
            </w:r>
            <w:r w:rsidRPr="002165FA">
              <w:rPr>
                <w:color w:val="auto"/>
                <w:szCs w:val="24"/>
                <w:lang w:val="en-US"/>
              </w:rPr>
              <w:t xml:space="preserve"> YRS</w:t>
            </w: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</w:tr>
      <w:tr w:rsidR="002165FA" w:rsidRPr="00ED3E2A" w:rsidTr="004D77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Rate</w:t>
            </w:r>
          </w:p>
        </w:tc>
        <w:tc>
          <w:tcPr>
            <w:tcW w:w="217" w:type="dxa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ED3E2A" w:rsidRPr="00ED3E2A" w:rsidRDefault="004D778A" w:rsidP="002165F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2165FA">
              <w:rPr>
                <w:color w:val="auto"/>
                <w:szCs w:val="24"/>
                <w:lang w:val="en-US"/>
              </w:rPr>
              <w:t xml:space="preserve">  </w:t>
            </w:r>
            <w:r w:rsidR="00ED3E2A" w:rsidRPr="00ED3E2A">
              <w:rPr>
                <w:color w:val="auto"/>
                <w:szCs w:val="24"/>
                <w:lang w:val="en-US"/>
              </w:rPr>
              <w:t>10%</w:t>
            </w:r>
          </w:p>
        </w:tc>
        <w:tc>
          <w:tcPr>
            <w:tcW w:w="3760" w:type="dxa"/>
            <w:gridSpan w:val="4"/>
            <w:noWrap/>
            <w:hideMark/>
          </w:tcPr>
          <w:p w:rsidR="00ED3E2A" w:rsidRPr="00ED3E2A" w:rsidRDefault="00ED3E2A" w:rsidP="002165F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ED3E2A">
              <w:rPr>
                <w:color w:val="auto"/>
                <w:szCs w:val="24"/>
                <w:lang w:val="en-US"/>
              </w:rPr>
              <w:t>This is the rate during accumulation</w:t>
            </w:r>
          </w:p>
        </w:tc>
      </w:tr>
    </w:tbl>
    <w:p w:rsidR="000C2922" w:rsidRPr="002165FA" w:rsidRDefault="000C2922" w:rsidP="002165FA">
      <w:pPr>
        <w:spacing w:line="480" w:lineRule="auto"/>
        <w:ind w:left="360"/>
        <w:contextualSpacing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w:lastRenderedPageBreak/>
            <m:t>FV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n-1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den>
              </m:f>
            </m:e>
          </m:d>
        </m:oMath>
      </m:oMathPara>
    </w:p>
    <w:p w:rsidR="004159A5" w:rsidRPr="002165FA" w:rsidRDefault="000C2922" w:rsidP="002165FA">
      <w:pPr>
        <w:spacing w:line="480" w:lineRule="auto"/>
        <w:contextualSpacing/>
        <w:rPr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313716.63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1+10%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12-1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10%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=</m:t>
          </m:r>
        </m:oMath>
      </m:oMathPara>
      <w:r w:rsidR="004159A5" w:rsidRPr="002165FA">
        <w:rPr>
          <w:szCs w:val="24"/>
          <w:lang w:val="en-US"/>
        </w:rPr>
        <w:br/>
      </w:r>
      <w:r w:rsidR="004159A5" w:rsidRPr="002165FA">
        <w:rPr>
          <w:szCs w:val="24"/>
          <w:lang w:val="en-US"/>
        </w:rPr>
        <w:t xml:space="preserve">$14,670.43 </w:t>
      </w:r>
    </w:p>
    <w:p w:rsidR="004D778A" w:rsidRPr="002165FA" w:rsidRDefault="00CF0D36" w:rsidP="002165F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Cs w:val="24"/>
        </w:rPr>
      </w:pPr>
      <w:r w:rsidRPr="002165FA">
        <w:rPr>
          <w:rFonts w:eastAsiaTheme="minorEastAsia"/>
          <w:szCs w:val="24"/>
        </w:rPr>
        <w:t>In case the annuity is a perpetuity, the PV is calculated as Annual Amount/Interest Rate</w:t>
      </w:r>
    </w:p>
    <w:tbl>
      <w:tblPr>
        <w:tblStyle w:val="LightShading-Accent1"/>
        <w:tblW w:w="3180" w:type="dxa"/>
        <w:tblLook w:val="04A0" w:firstRow="1" w:lastRow="0" w:firstColumn="1" w:lastColumn="0" w:noHBand="0" w:noVBand="1"/>
      </w:tblPr>
      <w:tblGrid>
        <w:gridCol w:w="1880"/>
        <w:gridCol w:w="1300"/>
      </w:tblGrid>
      <w:tr w:rsidR="002165FA" w:rsidRPr="002165FA" w:rsidTr="00990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90207" w:rsidRPr="002165FA" w:rsidRDefault="00990207" w:rsidP="002165FA">
            <w:pPr>
              <w:spacing w:line="480" w:lineRule="auto"/>
              <w:contextualSpacing/>
              <w:rPr>
                <w:color w:val="auto"/>
                <w:szCs w:val="24"/>
                <w:lang w:val="en-US"/>
              </w:rPr>
            </w:pPr>
            <w:r w:rsidRPr="00CF0D36">
              <w:rPr>
                <w:color w:val="auto"/>
                <w:szCs w:val="24"/>
                <w:lang w:val="en-US"/>
              </w:rPr>
              <w:t>Amount</w:t>
            </w:r>
          </w:p>
          <w:p w:rsidR="00990207" w:rsidRPr="00CF0D36" w:rsidRDefault="00990207" w:rsidP="002165FA">
            <w:pPr>
              <w:spacing w:line="480" w:lineRule="auto"/>
              <w:contextualSpacing/>
              <w:rPr>
                <w:color w:val="auto"/>
                <w:szCs w:val="24"/>
                <w:lang w:val="en-US"/>
              </w:rPr>
            </w:pPr>
            <w:r w:rsidRPr="00CF0D36">
              <w:rPr>
                <w:color w:val="auto"/>
                <w:szCs w:val="24"/>
                <w:lang w:val="en-US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990207" w:rsidRPr="00CF0D36" w:rsidRDefault="00990207" w:rsidP="002165F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CF0D36">
              <w:rPr>
                <w:color w:val="auto"/>
                <w:szCs w:val="24"/>
                <w:lang w:val="en-US"/>
              </w:rPr>
              <w:t xml:space="preserve">             42,000 </w:t>
            </w:r>
          </w:p>
        </w:tc>
      </w:tr>
      <w:tr w:rsidR="002165FA" w:rsidRPr="002165FA" w:rsidTr="0099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hideMark/>
          </w:tcPr>
          <w:p w:rsidR="00990207" w:rsidRPr="00CF0D36" w:rsidRDefault="00990207" w:rsidP="002165FA">
            <w:pPr>
              <w:spacing w:line="480" w:lineRule="auto"/>
              <w:contextualSpacing/>
              <w:rPr>
                <w:color w:val="auto"/>
                <w:szCs w:val="24"/>
                <w:lang w:val="en-US"/>
              </w:rPr>
            </w:pPr>
            <w:r w:rsidRPr="00CF0D36">
              <w:rPr>
                <w:color w:val="auto"/>
                <w:szCs w:val="24"/>
                <w:lang w:val="en-US"/>
              </w:rPr>
              <w:t>Rate</w:t>
            </w:r>
          </w:p>
        </w:tc>
        <w:tc>
          <w:tcPr>
            <w:tcW w:w="1300" w:type="dxa"/>
            <w:noWrap/>
            <w:hideMark/>
          </w:tcPr>
          <w:p w:rsidR="00990207" w:rsidRPr="00CF0D36" w:rsidRDefault="00990207" w:rsidP="002165F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lang w:val="en-US"/>
              </w:rPr>
            </w:pPr>
            <w:r w:rsidRPr="00CF0D36">
              <w:rPr>
                <w:color w:val="auto"/>
                <w:szCs w:val="24"/>
                <w:lang w:val="en-US"/>
              </w:rPr>
              <w:t>12%</w:t>
            </w:r>
          </w:p>
        </w:tc>
      </w:tr>
    </w:tbl>
    <w:p w:rsidR="00CF0D36" w:rsidRPr="002165FA" w:rsidRDefault="000B7396" w:rsidP="002165FA">
      <w:pPr>
        <w:spacing w:line="480" w:lineRule="auto"/>
        <w:contextualSpacing/>
        <w:rPr>
          <w:rFonts w:eastAsiaTheme="minorEastAsia"/>
          <w:szCs w:val="24"/>
        </w:rPr>
      </w:pPr>
      <w:r w:rsidRPr="002165FA">
        <w:rPr>
          <w:rFonts w:eastAsiaTheme="minorEastAsia"/>
          <w:szCs w:val="24"/>
        </w:rPr>
        <w:t>The</w:t>
      </w:r>
      <w:r w:rsidR="007443B4" w:rsidRPr="002165FA">
        <w:rPr>
          <w:rFonts w:eastAsiaTheme="minorEastAsia"/>
          <w:szCs w:val="24"/>
        </w:rPr>
        <w:t xml:space="preserve"> PV of the perpetuity = 42,000/12%</w:t>
      </w:r>
    </w:p>
    <w:p w:rsidR="007443B4" w:rsidRPr="002165FA" w:rsidRDefault="007443B4" w:rsidP="002165FA">
      <w:pPr>
        <w:spacing w:line="480" w:lineRule="auto"/>
        <w:contextualSpacing/>
        <w:rPr>
          <w:rFonts w:eastAsiaTheme="minorEastAsia"/>
          <w:szCs w:val="24"/>
        </w:rPr>
      </w:pPr>
      <w:r w:rsidRPr="002165FA">
        <w:rPr>
          <w:rFonts w:eastAsiaTheme="minorEastAsia"/>
          <w:szCs w:val="24"/>
        </w:rPr>
        <w:t>=350,000</w:t>
      </w:r>
    </w:p>
    <w:p w:rsidR="00FA681B" w:rsidRPr="002165FA" w:rsidRDefault="00FA681B" w:rsidP="002165FA">
      <w:pPr>
        <w:spacing w:line="480" w:lineRule="auto"/>
        <w:contextualSpacing/>
        <w:rPr>
          <w:rFonts w:eastAsiaTheme="minorEastAsia"/>
          <w:szCs w:val="24"/>
        </w:rPr>
      </w:pPr>
      <w:r w:rsidRPr="002165FA">
        <w:rPr>
          <w:rFonts w:eastAsiaTheme="minorEastAsia"/>
          <w:szCs w:val="24"/>
        </w:rPr>
        <w:t>The amount to be deposited per year is</w:t>
      </w:r>
    </w:p>
    <w:tbl>
      <w:tblPr>
        <w:tblW w:w="7019" w:type="dxa"/>
        <w:tblInd w:w="93" w:type="dxa"/>
        <w:tblLook w:val="04A0" w:firstRow="1" w:lastRow="0" w:firstColumn="1" w:lastColumn="0" w:noHBand="0" w:noVBand="1"/>
      </w:tblPr>
      <w:tblGrid>
        <w:gridCol w:w="1663"/>
        <w:gridCol w:w="276"/>
        <w:gridCol w:w="1330"/>
        <w:gridCol w:w="940"/>
        <w:gridCol w:w="940"/>
        <w:gridCol w:w="940"/>
        <w:gridCol w:w="940"/>
      </w:tblGrid>
      <w:tr w:rsidR="002165FA" w:rsidRPr="00FA681B" w:rsidTr="00167FE8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FV needed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167FE8" w:rsidP="002165FA">
            <w:pPr>
              <w:spacing w:line="480" w:lineRule="auto"/>
              <w:contextualSpacing/>
              <w:jc w:val="right"/>
              <w:rPr>
                <w:szCs w:val="24"/>
                <w:lang w:val="en-US"/>
              </w:rPr>
            </w:pPr>
            <w:r w:rsidRPr="002165FA">
              <w:rPr>
                <w:szCs w:val="24"/>
                <w:lang w:val="en-US"/>
              </w:rPr>
              <w:t>$350,000</w:t>
            </w:r>
            <w:r w:rsidR="00FA681B" w:rsidRPr="00FA681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</w:tr>
      <w:tr w:rsidR="002165FA" w:rsidRPr="00FA681B" w:rsidTr="00167FE8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Period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jc w:val="right"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years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</w:tr>
      <w:tr w:rsidR="002165FA" w:rsidRPr="00FA681B" w:rsidTr="00167FE8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Rate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jc w:val="right"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9%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81B" w:rsidRPr="00FA681B" w:rsidRDefault="00FA681B" w:rsidP="002165FA">
            <w:pPr>
              <w:spacing w:line="480" w:lineRule="auto"/>
              <w:contextualSpacing/>
              <w:rPr>
                <w:szCs w:val="24"/>
                <w:lang w:val="en-US"/>
              </w:rPr>
            </w:pPr>
            <w:r w:rsidRPr="00FA681B">
              <w:rPr>
                <w:szCs w:val="24"/>
                <w:lang w:val="en-US"/>
              </w:rPr>
              <w:t>This is the rate during accumulation</w:t>
            </w:r>
          </w:p>
        </w:tc>
      </w:tr>
    </w:tbl>
    <w:p w:rsidR="007443B4" w:rsidRPr="002165FA" w:rsidRDefault="00167FE8" w:rsidP="002165FA">
      <w:pPr>
        <w:spacing w:line="480" w:lineRule="auto"/>
        <w:contextualSpacing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  <w:lang w:val="en-US"/>
            </w:rPr>
            <m:t xml:space="preserve">$350,000 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1+9%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12-1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9%</m:t>
                  </m:r>
                </m:den>
              </m:f>
            </m:e>
          </m:d>
        </m:oMath>
      </m:oMathPara>
    </w:p>
    <w:p w:rsidR="00167FE8" w:rsidRPr="002165FA" w:rsidRDefault="00167FE8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rFonts w:eastAsiaTheme="minorEastAsia"/>
          <w:szCs w:val="24"/>
        </w:rPr>
        <w:t xml:space="preserve">= </w:t>
      </w:r>
      <w:r w:rsidRPr="002165FA">
        <w:rPr>
          <w:szCs w:val="24"/>
          <w:lang w:val="en-US"/>
        </w:rPr>
        <w:t xml:space="preserve">$17,377.73 </w:t>
      </w:r>
    </w:p>
    <w:p w:rsidR="000B7396" w:rsidRPr="002165FA" w:rsidRDefault="000B7396" w:rsidP="002165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000000"/>
        <w:spacing w:line="480" w:lineRule="auto"/>
        <w:contextualSpacing/>
        <w:rPr>
          <w:b/>
          <w:szCs w:val="24"/>
        </w:rPr>
      </w:pPr>
      <w:r w:rsidRPr="002165FA">
        <w:rPr>
          <w:b/>
          <w:szCs w:val="24"/>
        </w:rPr>
        <w:t>QUESTION TWO Bond and Share Valuation</w:t>
      </w:r>
    </w:p>
    <w:p w:rsidR="002F04BE" w:rsidRPr="002165FA" w:rsidRDefault="002F04BE" w:rsidP="002165FA">
      <w:pPr>
        <w:spacing w:line="480" w:lineRule="auto"/>
        <w:contextualSpacing/>
        <w:rPr>
          <w:szCs w:val="24"/>
          <w:u w:val="single"/>
        </w:rPr>
      </w:pPr>
    </w:p>
    <w:p w:rsidR="002F04BE" w:rsidRPr="002165FA" w:rsidRDefault="002F04BE" w:rsidP="002165FA">
      <w:pPr>
        <w:pStyle w:val="ListParagraph"/>
        <w:numPr>
          <w:ilvl w:val="0"/>
          <w:numId w:val="4"/>
        </w:numPr>
        <w:spacing w:line="480" w:lineRule="auto"/>
        <w:rPr>
          <w:szCs w:val="24"/>
          <w:u w:val="single"/>
        </w:rPr>
      </w:pPr>
      <w:r w:rsidRPr="002165FA">
        <w:rPr>
          <w:szCs w:val="24"/>
          <w:u w:val="single"/>
        </w:rPr>
        <w:t>Bond A</w:t>
      </w:r>
    </w:p>
    <w:p w:rsidR="002F04BE" w:rsidRPr="002165FA" w:rsidRDefault="002F04BE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</w:rPr>
        <w:t>Payments made</w:t>
      </w:r>
    </w:p>
    <w:p w:rsidR="002F04BE" w:rsidRPr="002165FA" w:rsidRDefault="002F04BE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</w:rPr>
        <w:t>First 6 years = $0</w:t>
      </w:r>
    </w:p>
    <w:p w:rsidR="002F04BE" w:rsidRPr="002165FA" w:rsidRDefault="003C7D54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</w:rPr>
        <w:t>Next 8 years = $2,0</w:t>
      </w:r>
      <w:r w:rsidR="002F04BE" w:rsidRPr="002165FA">
        <w:rPr>
          <w:szCs w:val="24"/>
        </w:rPr>
        <w:t xml:space="preserve">00 and </w:t>
      </w:r>
    </w:p>
    <w:p w:rsidR="002F04BE" w:rsidRPr="002165FA" w:rsidRDefault="003C7D54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</w:rPr>
        <w:lastRenderedPageBreak/>
        <w:t>Last 6 years = $2,5</w:t>
      </w:r>
      <w:r w:rsidR="002F04BE" w:rsidRPr="002165FA">
        <w:rPr>
          <w:szCs w:val="24"/>
        </w:rPr>
        <w:t>00.</w:t>
      </w:r>
    </w:p>
    <w:p w:rsidR="002F04BE" w:rsidRPr="002165FA" w:rsidRDefault="002F04BE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</w:rPr>
        <w:t>Current price = C*(PVIFA</w:t>
      </w:r>
      <w:r w:rsidR="000B4340" w:rsidRPr="002165FA">
        <w:rPr>
          <w:szCs w:val="24"/>
        </w:rPr>
        <w:t xml:space="preserve"> </w:t>
      </w:r>
      <w:r w:rsidRPr="002165FA">
        <w:rPr>
          <w:szCs w:val="24"/>
        </w:rPr>
        <w:t>@I/2, n*2) + C*(PVIFA</w:t>
      </w:r>
      <w:r w:rsidR="000B4340" w:rsidRPr="002165FA">
        <w:rPr>
          <w:szCs w:val="24"/>
        </w:rPr>
        <w:t xml:space="preserve"> </w:t>
      </w:r>
      <w:r w:rsidRPr="002165FA">
        <w:rPr>
          <w:szCs w:val="24"/>
        </w:rPr>
        <w:t>@I/2, n*2) + C*(PVIFA</w:t>
      </w:r>
      <w:r w:rsidR="000B4340" w:rsidRPr="002165FA">
        <w:rPr>
          <w:szCs w:val="24"/>
        </w:rPr>
        <w:t xml:space="preserve"> </w:t>
      </w:r>
      <w:r w:rsidRPr="002165FA">
        <w:rPr>
          <w:szCs w:val="24"/>
        </w:rPr>
        <w:t>@I/2, n*2) + Face value*(PVIF@I/2, n*2)</w:t>
      </w:r>
    </w:p>
    <w:p w:rsidR="002F04BE" w:rsidRPr="002165FA" w:rsidRDefault="002F04BE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</w:rPr>
        <w:t>Current price = 0*(</w:t>
      </w:r>
      <w:r w:rsidR="00F40FC9" w:rsidRPr="002165FA">
        <w:rPr>
          <w:szCs w:val="24"/>
        </w:rPr>
        <w:t>PVIFA</w:t>
      </w:r>
      <w:r w:rsidR="000B4340" w:rsidRPr="002165FA">
        <w:rPr>
          <w:szCs w:val="24"/>
        </w:rPr>
        <w:t xml:space="preserve"> </w:t>
      </w:r>
      <w:r w:rsidR="00F40FC9" w:rsidRPr="002165FA">
        <w:rPr>
          <w:szCs w:val="24"/>
        </w:rPr>
        <w:t>@6</w:t>
      </w:r>
      <w:r w:rsidRPr="002165FA">
        <w:rPr>
          <w:szCs w:val="24"/>
        </w:rPr>
        <w:t>%</w:t>
      </w:r>
      <w:r w:rsidR="00F40FC9" w:rsidRPr="002165FA">
        <w:rPr>
          <w:szCs w:val="24"/>
        </w:rPr>
        <w:t>, 12) + 2000</w:t>
      </w:r>
      <w:r w:rsidRPr="002165FA">
        <w:rPr>
          <w:szCs w:val="24"/>
        </w:rPr>
        <w:t>*(</w:t>
      </w:r>
      <w:r w:rsidR="00F40FC9" w:rsidRPr="002165FA">
        <w:rPr>
          <w:szCs w:val="24"/>
        </w:rPr>
        <w:t>PVIFA</w:t>
      </w:r>
      <w:r w:rsidR="000B4340" w:rsidRPr="002165FA">
        <w:rPr>
          <w:szCs w:val="24"/>
        </w:rPr>
        <w:t xml:space="preserve"> </w:t>
      </w:r>
      <w:r w:rsidR="00F40FC9" w:rsidRPr="002165FA">
        <w:rPr>
          <w:szCs w:val="24"/>
        </w:rPr>
        <w:t>@6</w:t>
      </w:r>
      <w:r w:rsidRPr="002165FA">
        <w:rPr>
          <w:szCs w:val="24"/>
        </w:rPr>
        <w:t>%</w:t>
      </w:r>
      <w:r w:rsidR="00CA4920" w:rsidRPr="002165FA">
        <w:rPr>
          <w:szCs w:val="24"/>
        </w:rPr>
        <w:t>, 16) + 2500</w:t>
      </w:r>
      <w:r w:rsidRPr="002165FA">
        <w:rPr>
          <w:szCs w:val="24"/>
        </w:rPr>
        <w:t>*(</w:t>
      </w:r>
      <w:r w:rsidR="00CA4920" w:rsidRPr="002165FA">
        <w:rPr>
          <w:szCs w:val="24"/>
        </w:rPr>
        <w:t>PVIFA</w:t>
      </w:r>
      <w:r w:rsidR="000B4340" w:rsidRPr="002165FA">
        <w:rPr>
          <w:rStyle w:val="Hyperlink"/>
          <w:color w:val="auto"/>
          <w:szCs w:val="24"/>
        </w:rPr>
        <w:t xml:space="preserve"> </w:t>
      </w:r>
      <w:r w:rsidR="00CA4920" w:rsidRPr="002165FA">
        <w:rPr>
          <w:szCs w:val="24"/>
        </w:rPr>
        <w:t>@6</w:t>
      </w:r>
      <w:r w:rsidRPr="002165FA">
        <w:rPr>
          <w:szCs w:val="24"/>
        </w:rPr>
        <w:t>%</w:t>
      </w:r>
      <w:r w:rsidR="00CA4920" w:rsidRPr="002165FA">
        <w:rPr>
          <w:szCs w:val="24"/>
        </w:rPr>
        <w:t>, 12) + 4</w:t>
      </w:r>
      <w:r w:rsidR="00F23AB5" w:rsidRPr="002165FA">
        <w:rPr>
          <w:szCs w:val="24"/>
        </w:rPr>
        <w:t>0,000*(PVIF</w:t>
      </w:r>
      <w:r w:rsidR="000B4340" w:rsidRPr="002165FA">
        <w:rPr>
          <w:szCs w:val="24"/>
        </w:rPr>
        <w:t xml:space="preserve"> </w:t>
      </w:r>
      <w:r w:rsidR="00F23AB5" w:rsidRPr="002165FA">
        <w:rPr>
          <w:szCs w:val="24"/>
        </w:rPr>
        <w:t>@6</w:t>
      </w:r>
      <w:r w:rsidRPr="002165FA">
        <w:rPr>
          <w:szCs w:val="24"/>
        </w:rPr>
        <w:t>%, 40)</w:t>
      </w:r>
    </w:p>
    <w:p w:rsidR="002F04BE" w:rsidRPr="002165FA" w:rsidRDefault="002F04BE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</w:rPr>
        <w:t>Current pric</w:t>
      </w:r>
      <w:r w:rsidR="00F0484B" w:rsidRPr="002165FA">
        <w:rPr>
          <w:szCs w:val="24"/>
        </w:rPr>
        <w:t>e = 2000</w:t>
      </w:r>
      <w:r w:rsidR="00AB3A0A" w:rsidRPr="002165FA">
        <w:rPr>
          <w:szCs w:val="24"/>
        </w:rPr>
        <w:t xml:space="preserve"> </w:t>
      </w:r>
      <w:r w:rsidRPr="002165FA">
        <w:rPr>
          <w:szCs w:val="24"/>
        </w:rPr>
        <w:t>*</w:t>
      </w:r>
      <w:r w:rsidR="00AB3A0A" w:rsidRPr="002165FA">
        <w:rPr>
          <w:szCs w:val="24"/>
        </w:rPr>
        <w:t xml:space="preserve"> </w:t>
      </w:r>
      <w:r w:rsidR="004C29BB" w:rsidRPr="002165FA">
        <w:rPr>
          <w:szCs w:val="24"/>
          <w:shd w:val="clear" w:color="auto" w:fill="FFFFFF"/>
        </w:rPr>
        <w:t xml:space="preserve">10.1059 </w:t>
      </w:r>
      <w:r w:rsidRPr="002165FA">
        <w:rPr>
          <w:szCs w:val="24"/>
        </w:rPr>
        <w:t xml:space="preserve">+ </w:t>
      </w:r>
      <w:r w:rsidR="004C29BB" w:rsidRPr="002165FA">
        <w:rPr>
          <w:szCs w:val="24"/>
        </w:rPr>
        <w:t>2500</w:t>
      </w:r>
      <w:r w:rsidR="00AB3A0A" w:rsidRPr="002165FA">
        <w:rPr>
          <w:szCs w:val="24"/>
        </w:rPr>
        <w:t xml:space="preserve"> </w:t>
      </w:r>
      <w:r w:rsidRPr="002165FA">
        <w:rPr>
          <w:szCs w:val="24"/>
        </w:rPr>
        <w:t>*</w:t>
      </w:r>
      <w:r w:rsidR="00AB3A0A" w:rsidRPr="002165FA">
        <w:rPr>
          <w:szCs w:val="24"/>
        </w:rPr>
        <w:t xml:space="preserve"> </w:t>
      </w:r>
      <w:r w:rsidR="004C29BB" w:rsidRPr="002165FA">
        <w:rPr>
          <w:szCs w:val="24"/>
          <w:shd w:val="clear" w:color="auto" w:fill="FFFFFF"/>
        </w:rPr>
        <w:t>8.3838</w:t>
      </w:r>
      <w:r w:rsidR="004C29BB" w:rsidRPr="002165FA">
        <w:rPr>
          <w:szCs w:val="24"/>
        </w:rPr>
        <w:t>+ 4</w:t>
      </w:r>
      <w:r w:rsidRPr="002165FA">
        <w:rPr>
          <w:szCs w:val="24"/>
        </w:rPr>
        <w:t>0,000</w:t>
      </w:r>
      <w:r w:rsidR="00AB3A0A" w:rsidRPr="002165FA">
        <w:rPr>
          <w:szCs w:val="24"/>
        </w:rPr>
        <w:t xml:space="preserve"> </w:t>
      </w:r>
      <w:r w:rsidRPr="002165FA">
        <w:rPr>
          <w:szCs w:val="24"/>
        </w:rPr>
        <w:t>*</w:t>
      </w:r>
      <w:r w:rsidR="00AB3A0A" w:rsidRPr="002165FA">
        <w:rPr>
          <w:szCs w:val="24"/>
        </w:rPr>
        <w:t xml:space="preserve"> </w:t>
      </w:r>
      <w:r w:rsidR="00AC13C7" w:rsidRPr="002165FA">
        <w:rPr>
          <w:szCs w:val="24"/>
          <w:lang w:val="en-US"/>
        </w:rPr>
        <w:t>0.0972</w:t>
      </w:r>
    </w:p>
    <w:p w:rsidR="002F04BE" w:rsidRPr="002165FA" w:rsidRDefault="002F04BE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</w:rPr>
        <w:t>Current price = $</w:t>
      </w:r>
      <w:r w:rsidR="00AC13C7" w:rsidRPr="002165FA">
        <w:rPr>
          <w:szCs w:val="24"/>
          <w:lang w:val="en-US"/>
        </w:rPr>
        <w:t>45,059.3</w:t>
      </w:r>
    </w:p>
    <w:p w:rsidR="00AC13C7" w:rsidRPr="002165FA" w:rsidRDefault="00AC13C7" w:rsidP="002165FA">
      <w:pPr>
        <w:spacing w:line="480" w:lineRule="auto"/>
        <w:contextualSpacing/>
        <w:rPr>
          <w:szCs w:val="24"/>
          <w:lang w:val="en-US"/>
        </w:rPr>
      </w:pPr>
      <w:bookmarkStart w:id="0" w:name="_GoBack"/>
      <w:bookmarkEnd w:id="0"/>
    </w:p>
    <w:p w:rsidR="002F04BE" w:rsidRPr="002165FA" w:rsidRDefault="00F23AB5" w:rsidP="002165FA">
      <w:pPr>
        <w:spacing w:line="480" w:lineRule="auto"/>
        <w:contextualSpacing/>
        <w:rPr>
          <w:szCs w:val="24"/>
          <w:u w:val="single"/>
        </w:rPr>
      </w:pPr>
      <w:r w:rsidRPr="002165FA">
        <w:rPr>
          <w:szCs w:val="24"/>
          <w:u w:val="single"/>
        </w:rPr>
        <w:t>Bond B</w:t>
      </w:r>
    </w:p>
    <w:p w:rsidR="002F04BE" w:rsidRPr="002165FA" w:rsidRDefault="002F04BE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</w:rPr>
        <w:t>Current price = FV/ (1 + i)</w:t>
      </w:r>
      <w:r w:rsidRPr="002165FA">
        <w:rPr>
          <w:szCs w:val="24"/>
          <w:vertAlign w:val="superscript"/>
        </w:rPr>
        <w:t xml:space="preserve"> n</w:t>
      </w:r>
    </w:p>
    <w:p w:rsidR="00450318" w:rsidRPr="002165FA" w:rsidRDefault="00F23AB5" w:rsidP="002165FA">
      <w:pPr>
        <w:spacing w:line="480" w:lineRule="auto"/>
        <w:contextualSpacing/>
        <w:rPr>
          <w:szCs w:val="24"/>
          <w:vertAlign w:val="superscript"/>
        </w:rPr>
      </w:pPr>
      <w:r w:rsidRPr="002165FA">
        <w:rPr>
          <w:szCs w:val="24"/>
        </w:rPr>
        <w:t xml:space="preserve">                    = $4</w:t>
      </w:r>
      <w:r w:rsidR="005F69BD" w:rsidRPr="002165FA">
        <w:rPr>
          <w:szCs w:val="24"/>
        </w:rPr>
        <w:t>0,000/ (1.06</w:t>
      </w:r>
      <w:r w:rsidR="002F04BE" w:rsidRPr="002165FA">
        <w:rPr>
          <w:szCs w:val="24"/>
        </w:rPr>
        <w:t>)</w:t>
      </w:r>
      <w:r w:rsidR="002F04BE" w:rsidRPr="002165FA">
        <w:rPr>
          <w:szCs w:val="24"/>
          <w:vertAlign w:val="superscript"/>
        </w:rPr>
        <w:t>40</w:t>
      </w:r>
    </w:p>
    <w:p w:rsidR="004E0D08" w:rsidRPr="002165FA" w:rsidRDefault="00710594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</w:rPr>
        <w:t>=</w:t>
      </w:r>
      <w:r w:rsidR="004E0D08" w:rsidRPr="002165FA">
        <w:rPr>
          <w:szCs w:val="24"/>
          <w:lang w:val="en-US"/>
        </w:rPr>
        <w:t>$3888.89</w:t>
      </w:r>
    </w:p>
    <w:p w:rsidR="002F04BE" w:rsidRPr="002165FA" w:rsidRDefault="002F04BE" w:rsidP="002165FA">
      <w:pPr>
        <w:pStyle w:val="ListParagraph"/>
        <w:numPr>
          <w:ilvl w:val="0"/>
          <w:numId w:val="4"/>
        </w:numPr>
        <w:spacing w:line="480" w:lineRule="auto"/>
        <w:rPr>
          <w:szCs w:val="24"/>
        </w:rPr>
      </w:pPr>
      <w:r w:rsidRPr="002165FA">
        <w:rPr>
          <w:szCs w:val="24"/>
        </w:rPr>
        <w:t xml:space="preserve">  </w:t>
      </w:r>
    </w:p>
    <w:p w:rsidR="004F4F70" w:rsidRPr="002165FA" w:rsidRDefault="008F395C" w:rsidP="002165FA">
      <w:pPr>
        <w:spacing w:line="480" w:lineRule="auto"/>
        <w:contextualSpacing/>
        <w:rPr>
          <w:rFonts w:eastAsiaTheme="minorEastAsia"/>
          <w:szCs w:val="24"/>
        </w:rPr>
      </w:pPr>
      <w:r w:rsidRPr="002165FA">
        <w:rPr>
          <w:rFonts w:eastAsiaTheme="minorEastAsia"/>
          <w:szCs w:val="24"/>
        </w:rPr>
        <w:t>PV principal</w:t>
      </w:r>
      <w:r w:rsidR="00690838" w:rsidRPr="002165FA">
        <w:rPr>
          <w:rFonts w:eastAsiaTheme="minorEastAsia"/>
          <w:szCs w:val="24"/>
        </w:rPr>
        <w:t>=</w:t>
      </w:r>
      <w:r w:rsidR="004F4F70" w:rsidRPr="002165FA">
        <w:rPr>
          <w:rFonts w:eastAsiaTheme="minorEastAsia"/>
          <w:szCs w:val="24"/>
        </w:rPr>
        <w:t xml:space="preserve"> face value / (1+YTM</w:t>
      </w:r>
      <w:proofErr w:type="gramStart"/>
      <w:r w:rsidR="004F4F70" w:rsidRPr="002165FA">
        <w:rPr>
          <w:rFonts w:eastAsiaTheme="minorEastAsia"/>
          <w:szCs w:val="24"/>
        </w:rPr>
        <w:t>)^</w:t>
      </w:r>
      <w:proofErr w:type="gramEnd"/>
      <w:r w:rsidR="004F4F70" w:rsidRPr="002165FA">
        <w:rPr>
          <w:rFonts w:eastAsiaTheme="minorEastAsia"/>
          <w:szCs w:val="24"/>
        </w:rPr>
        <w:t>n =</w:t>
      </w:r>
    </w:p>
    <w:p w:rsidR="008C178B" w:rsidRPr="002165FA" w:rsidRDefault="000410B9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rFonts w:eastAsiaTheme="minorEastAsia"/>
          <w:szCs w:val="24"/>
        </w:rPr>
        <w:t>1000/ (1.</w:t>
      </w:r>
      <w:r w:rsidR="004F4F70" w:rsidRPr="002165FA">
        <w:rPr>
          <w:rFonts w:eastAsiaTheme="minorEastAsia"/>
          <w:szCs w:val="24"/>
        </w:rPr>
        <w:t>10</w:t>
      </w:r>
      <w:proofErr w:type="gramStart"/>
      <w:r w:rsidR="004F4F70" w:rsidRPr="002165FA">
        <w:rPr>
          <w:rFonts w:eastAsiaTheme="minorEastAsia"/>
          <w:szCs w:val="24"/>
        </w:rPr>
        <w:t>)</w:t>
      </w:r>
      <w:r w:rsidR="008C178B" w:rsidRPr="002165FA">
        <w:rPr>
          <w:rFonts w:eastAsiaTheme="minorEastAsia"/>
          <w:szCs w:val="24"/>
        </w:rPr>
        <w:t>^</w:t>
      </w:r>
      <w:proofErr w:type="gramEnd"/>
      <w:r w:rsidR="008C178B" w:rsidRPr="002165FA">
        <w:rPr>
          <w:rFonts w:eastAsiaTheme="minorEastAsia"/>
          <w:szCs w:val="24"/>
        </w:rPr>
        <w:t xml:space="preserve">5 = </w:t>
      </w:r>
      <w:r w:rsidR="00690838" w:rsidRPr="002165FA">
        <w:rPr>
          <w:rFonts w:eastAsiaTheme="minorEastAsia"/>
          <w:szCs w:val="24"/>
        </w:rPr>
        <w:t xml:space="preserve"> </w:t>
      </w:r>
      <w:r w:rsidRPr="002165FA">
        <w:rPr>
          <w:szCs w:val="24"/>
          <w:lang w:val="en-US"/>
        </w:rPr>
        <w:t>620.9213</w:t>
      </w:r>
    </w:p>
    <w:p w:rsidR="00690838" w:rsidRPr="002165FA" w:rsidRDefault="00577D3C" w:rsidP="002165FA">
      <w:pPr>
        <w:spacing w:line="480" w:lineRule="auto"/>
        <w:contextualSpacing/>
        <w:rPr>
          <w:rFonts w:eastAsiaTheme="minorEastAsia"/>
          <w:szCs w:val="24"/>
        </w:rPr>
      </w:pPr>
      <w:proofErr w:type="spellStart"/>
      <w:proofErr w:type="gramStart"/>
      <w:r w:rsidRPr="002165FA">
        <w:rPr>
          <w:rFonts w:eastAsiaTheme="minorEastAsia"/>
          <w:szCs w:val="24"/>
        </w:rPr>
        <w:t>PV</w:t>
      </w:r>
      <w:r w:rsidR="00CB1988" w:rsidRPr="002165FA">
        <w:rPr>
          <w:rFonts w:eastAsiaTheme="minorEastAsia"/>
          <w:szCs w:val="24"/>
        </w:rPr>
        <w:t>c</w:t>
      </w:r>
      <w:proofErr w:type="spellEnd"/>
      <w:proofErr w:type="gramEnd"/>
      <w:r w:rsidRPr="002165FA">
        <w:rPr>
          <w:rFonts w:eastAsiaTheme="minorEastAsia"/>
          <w:szCs w:val="24"/>
        </w:rPr>
        <w:t xml:space="preserve"> = PB – PV principal</w:t>
      </w:r>
    </w:p>
    <w:p w:rsidR="00577D3C" w:rsidRPr="002165FA" w:rsidRDefault="00577D3C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</w:rPr>
        <w:t>$768-</w:t>
      </w:r>
      <w:r w:rsidR="000410B9" w:rsidRPr="002165FA">
        <w:rPr>
          <w:szCs w:val="24"/>
          <w:lang w:val="en-US"/>
        </w:rPr>
        <w:t xml:space="preserve">620.9213 </w:t>
      </w:r>
      <w:r w:rsidRPr="002165FA">
        <w:rPr>
          <w:szCs w:val="24"/>
          <w:lang w:val="en-US"/>
        </w:rPr>
        <w:t xml:space="preserve">= </w:t>
      </w:r>
      <w:r w:rsidR="000410B9" w:rsidRPr="002165FA">
        <w:rPr>
          <w:szCs w:val="24"/>
          <w:lang w:val="en-US"/>
        </w:rPr>
        <w:t>147.0787</w:t>
      </w:r>
    </w:p>
    <w:p w:rsidR="00577D3C" w:rsidRPr="002165FA" w:rsidRDefault="00CB1988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>Coupon = (</w:t>
      </w:r>
      <w:proofErr w:type="spellStart"/>
      <w:proofErr w:type="gramStart"/>
      <w:r w:rsidRPr="002165FA">
        <w:rPr>
          <w:szCs w:val="24"/>
          <w:lang w:val="en-US"/>
        </w:rPr>
        <w:t>PVc</w:t>
      </w:r>
      <w:proofErr w:type="spellEnd"/>
      <w:r w:rsidRPr="002165FA">
        <w:rPr>
          <w:szCs w:val="24"/>
          <w:lang w:val="en-US"/>
        </w:rPr>
        <w:t xml:space="preserve"> </w:t>
      </w:r>
      <w:r w:rsidR="00892179" w:rsidRPr="002165FA">
        <w:rPr>
          <w:szCs w:val="24"/>
          <w:lang w:val="en-US"/>
        </w:rPr>
        <w:t xml:space="preserve"> *</w:t>
      </w:r>
      <w:proofErr w:type="gramEnd"/>
      <w:r w:rsidR="00892179" w:rsidRPr="002165FA">
        <w:rPr>
          <w:szCs w:val="24"/>
          <w:lang w:val="en-US"/>
        </w:rPr>
        <w:t xml:space="preserve"> YTM) / {1/ (1+YTM)^n} =</w:t>
      </w:r>
    </w:p>
    <w:p w:rsidR="00892179" w:rsidRPr="002165FA" w:rsidRDefault="00A53996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>(</w:t>
      </w:r>
      <w:r w:rsidR="000410B9" w:rsidRPr="000410B9">
        <w:rPr>
          <w:szCs w:val="24"/>
          <w:lang w:val="en-US"/>
        </w:rPr>
        <w:t>147.0787</w:t>
      </w:r>
      <w:r w:rsidR="000410B9" w:rsidRPr="002165FA">
        <w:rPr>
          <w:szCs w:val="24"/>
          <w:lang w:val="en-US"/>
        </w:rPr>
        <w:t>*0.1</w:t>
      </w:r>
      <w:r w:rsidRPr="002165FA">
        <w:rPr>
          <w:szCs w:val="24"/>
          <w:lang w:val="en-US"/>
        </w:rPr>
        <w:t>)/ {1- (</w:t>
      </w:r>
      <w:r w:rsidR="00ED0476" w:rsidRPr="002165FA">
        <w:rPr>
          <w:szCs w:val="24"/>
          <w:lang w:val="en-US"/>
        </w:rPr>
        <w:t>1/1.1</w:t>
      </w:r>
      <w:proofErr w:type="gramStart"/>
      <w:r w:rsidR="00ED0476" w:rsidRPr="002165FA">
        <w:rPr>
          <w:szCs w:val="24"/>
          <w:lang w:val="en-US"/>
        </w:rPr>
        <w:t>)^</w:t>
      </w:r>
      <w:proofErr w:type="gramEnd"/>
      <w:r w:rsidR="00ED0476" w:rsidRPr="002165FA">
        <w:rPr>
          <w:szCs w:val="24"/>
          <w:lang w:val="en-US"/>
        </w:rPr>
        <w:t>5}</w:t>
      </w:r>
    </w:p>
    <w:p w:rsidR="00223471" w:rsidRPr="002165FA" w:rsidRDefault="00ED0476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>= 14.70787</w:t>
      </w:r>
      <w:r w:rsidR="00BE5F05" w:rsidRPr="002165FA">
        <w:rPr>
          <w:szCs w:val="24"/>
          <w:lang w:val="en-US"/>
        </w:rPr>
        <w:t xml:space="preserve">/ </w:t>
      </w:r>
      <w:r w:rsidR="00223471" w:rsidRPr="002165FA">
        <w:rPr>
          <w:szCs w:val="24"/>
          <w:lang w:val="en-US"/>
        </w:rPr>
        <w:t>0.379079</w:t>
      </w:r>
    </w:p>
    <w:p w:rsidR="00223471" w:rsidRPr="002165FA" w:rsidRDefault="00223471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>=</w:t>
      </w:r>
      <w:r w:rsidR="007E49A8" w:rsidRPr="002165FA">
        <w:rPr>
          <w:szCs w:val="24"/>
          <w:lang w:val="en-US"/>
        </w:rPr>
        <w:t>$</w:t>
      </w:r>
      <w:r w:rsidRPr="002165FA">
        <w:rPr>
          <w:szCs w:val="24"/>
          <w:lang w:val="en-US"/>
        </w:rPr>
        <w:t>38.79896</w:t>
      </w:r>
    </w:p>
    <w:p w:rsidR="007E49A8" w:rsidRPr="002165FA" w:rsidRDefault="007E49A8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>Coupon rate = 100*coupon/ face value</w:t>
      </w:r>
    </w:p>
    <w:p w:rsidR="007E49A8" w:rsidRPr="002165FA" w:rsidRDefault="007E49A8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>100*38.79896/1000</w:t>
      </w:r>
    </w:p>
    <w:p w:rsidR="007E49A8" w:rsidRPr="002165FA" w:rsidRDefault="007E49A8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lastRenderedPageBreak/>
        <w:t>=</w:t>
      </w:r>
      <w:r w:rsidR="000304D7" w:rsidRPr="002165FA">
        <w:rPr>
          <w:szCs w:val="24"/>
          <w:lang w:val="en-US"/>
        </w:rPr>
        <w:t>3.88%</w:t>
      </w:r>
    </w:p>
    <w:p w:rsidR="002165FA" w:rsidRDefault="002165FA" w:rsidP="002165FA">
      <w:pPr>
        <w:pStyle w:val="ListParagraph"/>
        <w:numPr>
          <w:ilvl w:val="0"/>
          <w:numId w:val="4"/>
        </w:numPr>
        <w:spacing w:line="480" w:lineRule="auto"/>
        <w:rPr>
          <w:szCs w:val="24"/>
          <w:lang w:val="en-US"/>
        </w:rPr>
      </w:pPr>
    </w:p>
    <w:p w:rsidR="00E641A5" w:rsidRPr="001A4AFE" w:rsidRDefault="00E641A5" w:rsidP="001A4AFE">
      <w:pPr>
        <w:pStyle w:val="ListParagraph"/>
        <w:numPr>
          <w:ilvl w:val="0"/>
          <w:numId w:val="6"/>
        </w:numPr>
        <w:spacing w:line="480" w:lineRule="auto"/>
        <w:rPr>
          <w:szCs w:val="24"/>
          <w:lang w:val="en-US"/>
        </w:rPr>
      </w:pPr>
      <w:r w:rsidRPr="001A4AFE">
        <w:rPr>
          <w:szCs w:val="24"/>
          <w:lang w:val="en-US"/>
        </w:rPr>
        <w:t>1</w:t>
      </w:r>
      <w:r w:rsidRPr="001A4AFE">
        <w:rPr>
          <w:szCs w:val="24"/>
          <w:vertAlign w:val="superscript"/>
          <w:lang w:val="en-US"/>
        </w:rPr>
        <w:t>st</w:t>
      </w:r>
      <w:r w:rsidRPr="001A4AFE">
        <w:rPr>
          <w:szCs w:val="24"/>
          <w:lang w:val="en-US"/>
        </w:rPr>
        <w:t xml:space="preserve"> year </w:t>
      </w:r>
      <w:r w:rsidR="000F2726" w:rsidRPr="001A4AFE">
        <w:rPr>
          <w:szCs w:val="24"/>
          <w:lang w:val="en-US"/>
        </w:rPr>
        <w:t xml:space="preserve">= 2*6% = 0.12 </w:t>
      </w:r>
    </w:p>
    <w:p w:rsidR="000F2726" w:rsidRPr="002165FA" w:rsidRDefault="000F2726" w:rsidP="002165FA">
      <w:pPr>
        <w:pStyle w:val="ListParagraph"/>
        <w:spacing w:line="480" w:lineRule="auto"/>
        <w:rPr>
          <w:szCs w:val="24"/>
        </w:rPr>
      </w:pPr>
      <w:r w:rsidRPr="002165FA">
        <w:rPr>
          <w:szCs w:val="24"/>
          <w:lang w:val="en-US"/>
        </w:rPr>
        <w:t xml:space="preserve">2.00+0.12 = </w:t>
      </w:r>
      <w:r w:rsidRPr="002165FA">
        <w:rPr>
          <w:szCs w:val="24"/>
        </w:rPr>
        <w:t xml:space="preserve">2.12                   </w:t>
      </w:r>
    </w:p>
    <w:p w:rsidR="002375CC" w:rsidRPr="002165FA" w:rsidRDefault="000F2726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</w:rPr>
        <w:t>2</w:t>
      </w:r>
      <w:r w:rsidRPr="002165FA">
        <w:rPr>
          <w:szCs w:val="24"/>
          <w:vertAlign w:val="superscript"/>
        </w:rPr>
        <w:t>nd</w:t>
      </w:r>
      <w:r w:rsidRPr="002165FA">
        <w:rPr>
          <w:szCs w:val="24"/>
        </w:rPr>
        <w:t xml:space="preserve"> year = 2.12*6% = </w:t>
      </w:r>
      <w:r w:rsidR="002375CC" w:rsidRPr="002165FA">
        <w:rPr>
          <w:szCs w:val="24"/>
          <w:lang w:val="en-US"/>
        </w:rPr>
        <w:t xml:space="preserve">0.1272 </w:t>
      </w:r>
    </w:p>
    <w:p w:rsidR="002375CC" w:rsidRPr="002165FA" w:rsidRDefault="002375CC" w:rsidP="002165FA">
      <w:pPr>
        <w:spacing w:line="480" w:lineRule="auto"/>
        <w:contextualSpacing/>
        <w:rPr>
          <w:szCs w:val="24"/>
        </w:rPr>
      </w:pPr>
      <w:r w:rsidRPr="002165FA">
        <w:rPr>
          <w:szCs w:val="24"/>
          <w:lang w:val="en-US"/>
        </w:rPr>
        <w:t xml:space="preserve">=2.12+0.1272 = </w:t>
      </w:r>
      <w:r w:rsidRPr="002165FA">
        <w:rPr>
          <w:szCs w:val="24"/>
        </w:rPr>
        <w:t xml:space="preserve">2.247                 </w:t>
      </w:r>
    </w:p>
    <w:p w:rsidR="001A4C79" w:rsidRPr="002165FA" w:rsidRDefault="001A4C79" w:rsidP="002165FA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</w:rPr>
        <w:t>3</w:t>
      </w:r>
      <w:r w:rsidRPr="002165FA">
        <w:rPr>
          <w:szCs w:val="24"/>
          <w:vertAlign w:val="superscript"/>
        </w:rPr>
        <w:t>rd</w:t>
      </w:r>
      <w:r w:rsidRPr="002165FA">
        <w:rPr>
          <w:szCs w:val="24"/>
        </w:rPr>
        <w:t xml:space="preserve"> year = 2.247*6% = </w:t>
      </w:r>
      <w:r w:rsidRPr="002165FA">
        <w:rPr>
          <w:szCs w:val="24"/>
          <w:lang w:val="en-US"/>
        </w:rPr>
        <w:t>0.135</w:t>
      </w:r>
    </w:p>
    <w:p w:rsidR="001A4AFE" w:rsidRDefault="004C0686" w:rsidP="001A4AFE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>=</w:t>
      </w:r>
      <w:r w:rsidRPr="002165FA">
        <w:rPr>
          <w:szCs w:val="24"/>
        </w:rPr>
        <w:t xml:space="preserve">2.247+ </w:t>
      </w:r>
      <w:r w:rsidRPr="002165FA">
        <w:rPr>
          <w:szCs w:val="24"/>
          <w:lang w:val="en-US"/>
        </w:rPr>
        <w:t xml:space="preserve">0.135 = </w:t>
      </w:r>
      <w:r w:rsidRPr="002165FA">
        <w:rPr>
          <w:szCs w:val="24"/>
        </w:rPr>
        <w:t>2.382</w:t>
      </w:r>
    </w:p>
    <w:p w:rsidR="00CE190E" w:rsidRPr="001A4AFE" w:rsidRDefault="004C0686" w:rsidP="001A4AFE">
      <w:pPr>
        <w:spacing w:line="480" w:lineRule="auto"/>
        <w:contextualSpacing/>
        <w:rPr>
          <w:szCs w:val="24"/>
          <w:lang w:val="en-US"/>
        </w:rPr>
      </w:pPr>
      <w:r w:rsidRPr="002165FA">
        <w:rPr>
          <w:szCs w:val="24"/>
          <w:lang w:val="en-US"/>
        </w:rPr>
        <w:t xml:space="preserve">ii) </w:t>
      </w:r>
      <w:r w:rsidR="00452DC8" w:rsidRPr="002165FA">
        <w:rPr>
          <w:position w:val="-12"/>
          <w:szCs w:val="24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0.25pt" o:ole="" fillcolor="window">
            <v:imagedata r:id="rId9" o:title=""/>
          </v:shape>
          <o:OLEObject Type="Embed" ProgID="Equation.3" ShapeID="_x0000_i1025" DrawAspect="Content" ObjectID="_1619463305" r:id="rId10"/>
        </w:object>
      </w:r>
      <w:r w:rsidR="00452DC8" w:rsidRPr="002165FA">
        <w:rPr>
          <w:szCs w:val="24"/>
        </w:rPr>
        <w:t xml:space="preserve"> = </w:t>
      </w:r>
      <w:r w:rsidR="00452DC8" w:rsidRPr="002165FA">
        <w:rPr>
          <w:position w:val="-30"/>
          <w:szCs w:val="24"/>
        </w:rPr>
        <w:object w:dxaOrig="639" w:dyaOrig="680">
          <v:shape id="_x0000_i1026" type="#_x0000_t75" style="width:32.25pt;height:33.75pt" o:ole="" fillcolor="window">
            <v:imagedata r:id="rId11" o:title=""/>
          </v:shape>
          <o:OLEObject Type="Embed" ProgID="Equation.3" ShapeID="_x0000_i1026" DrawAspect="Content" ObjectID="_1619463306" r:id="rId12"/>
        </w:object>
      </w:r>
      <w:r w:rsidR="00452DC8" w:rsidRPr="002165FA">
        <w:rPr>
          <w:szCs w:val="24"/>
        </w:rPr>
        <w:t xml:space="preserve"> = </w:t>
      </w:r>
      <w:r w:rsidR="00452DC8" w:rsidRPr="002165FA">
        <w:rPr>
          <w:position w:val="-24"/>
          <w:szCs w:val="24"/>
        </w:rPr>
        <w:object w:dxaOrig="1160" w:dyaOrig="620">
          <v:shape id="_x0000_i1027" type="#_x0000_t75" style="width:57.75pt;height:30.75pt" o:ole="" fillcolor="window">
            <v:imagedata r:id="rId13" o:title=""/>
          </v:shape>
          <o:OLEObject Type="Embed" ProgID="Equation.3" ShapeID="_x0000_i1027" DrawAspect="Content" ObjectID="_1619463307" r:id="rId14"/>
        </w:object>
      </w:r>
      <w:r w:rsidR="00452DC8" w:rsidRPr="002165FA">
        <w:rPr>
          <w:szCs w:val="24"/>
        </w:rPr>
        <w:t xml:space="preserve"> = </w:t>
      </w:r>
      <w:r w:rsidR="00452DC8" w:rsidRPr="002165FA">
        <w:rPr>
          <w:position w:val="-24"/>
          <w:szCs w:val="24"/>
        </w:rPr>
        <w:object w:dxaOrig="639" w:dyaOrig="620">
          <v:shape id="_x0000_i1028" type="#_x0000_t75" style="width:32.25pt;height:30.75pt" o:ole="" fillcolor="window">
            <v:imagedata r:id="rId15" o:title=""/>
          </v:shape>
          <o:OLEObject Type="Embed" ProgID="Equation.3" ShapeID="_x0000_i1028" DrawAspect="Content" ObjectID="_1619463308" r:id="rId16"/>
        </w:object>
      </w:r>
      <w:r w:rsidR="00452DC8" w:rsidRPr="002165FA">
        <w:rPr>
          <w:szCs w:val="24"/>
        </w:rPr>
        <w:t xml:space="preserve"> = $30.29.</w:t>
      </w:r>
    </w:p>
    <w:p w:rsidR="00553EF7" w:rsidRPr="002165FA" w:rsidRDefault="00452DC8" w:rsidP="002165FA">
      <w:pPr>
        <w:keepNext/>
        <w:keepLines/>
        <w:tabs>
          <w:tab w:val="left" w:pos="-1180"/>
          <w:tab w:val="left" w:pos="-720"/>
          <w:tab w:val="left" w:pos="1080"/>
          <w:tab w:val="left" w:pos="1440"/>
        </w:tabs>
        <w:spacing w:line="480" w:lineRule="auto"/>
        <w:contextualSpacing/>
        <w:rPr>
          <w:szCs w:val="24"/>
        </w:rPr>
      </w:pPr>
      <w:r w:rsidRPr="002165FA">
        <w:rPr>
          <w:szCs w:val="24"/>
        </w:rPr>
        <w:t xml:space="preserve">iii) </w:t>
      </w:r>
      <w:r w:rsidR="00553EF7" w:rsidRPr="002165FA">
        <w:rPr>
          <w:position w:val="-10"/>
          <w:szCs w:val="24"/>
        </w:rPr>
        <w:object w:dxaOrig="260" w:dyaOrig="380">
          <v:shape id="_x0000_i1029" type="#_x0000_t75" style="width:12.75pt;height:18.75pt" o:ole="" fillcolor="window">
            <v:imagedata r:id="rId17" o:title=""/>
          </v:shape>
          <o:OLEObject Type="Embed" ProgID="Equation.3" ShapeID="_x0000_i1029" DrawAspect="Content" ObjectID="_1619463309" r:id="rId18"/>
        </w:object>
      </w:r>
      <w:r w:rsidR="00553EF7" w:rsidRPr="002165FA">
        <w:rPr>
          <w:szCs w:val="24"/>
        </w:rPr>
        <w:t xml:space="preserve"> = </w:t>
      </w:r>
      <w:r w:rsidR="00553EF7" w:rsidRPr="002165FA">
        <w:rPr>
          <w:position w:val="-30"/>
          <w:szCs w:val="24"/>
        </w:rPr>
        <w:object w:dxaOrig="800" w:dyaOrig="680">
          <v:shape id="_x0000_i1030" type="#_x0000_t75" style="width:39.75pt;height:33.75pt" o:ole="" fillcolor="window">
            <v:imagedata r:id="rId19" o:title=""/>
          </v:shape>
          <o:OLEObject Type="Embed" ProgID="Equation.3" ShapeID="_x0000_i1030" DrawAspect="Content" ObjectID="_1619463310" r:id="rId20"/>
        </w:object>
      </w:r>
      <w:r w:rsidR="00553EF7" w:rsidRPr="002165FA">
        <w:rPr>
          <w:szCs w:val="24"/>
        </w:rPr>
        <w:t xml:space="preserve"> = </w:t>
      </w:r>
      <w:r w:rsidR="00553EF7" w:rsidRPr="002165FA">
        <w:rPr>
          <w:position w:val="-28"/>
          <w:szCs w:val="24"/>
        </w:rPr>
        <w:object w:dxaOrig="1320" w:dyaOrig="660">
          <v:shape id="_x0000_i1031" type="#_x0000_t75" style="width:66pt;height:33pt" o:ole="" fillcolor="window">
            <v:imagedata r:id="rId21" o:title=""/>
          </v:shape>
          <o:OLEObject Type="Embed" ProgID="Equation.3" ShapeID="_x0000_i1031" DrawAspect="Content" ObjectID="_1619463311" r:id="rId22"/>
        </w:object>
      </w:r>
      <w:r w:rsidR="00553EF7" w:rsidRPr="002165FA">
        <w:rPr>
          <w:szCs w:val="24"/>
        </w:rPr>
        <w:t xml:space="preserve"> </w:t>
      </w:r>
    </w:p>
    <w:p w:rsidR="00452DC8" w:rsidRPr="002165FA" w:rsidRDefault="00553EF7" w:rsidP="002165FA">
      <w:pPr>
        <w:keepNext/>
        <w:keepLines/>
        <w:tabs>
          <w:tab w:val="left" w:pos="-1180"/>
          <w:tab w:val="left" w:pos="-720"/>
          <w:tab w:val="left" w:pos="1080"/>
          <w:tab w:val="left" w:pos="1440"/>
        </w:tabs>
        <w:spacing w:line="480" w:lineRule="auto"/>
        <w:contextualSpacing/>
        <w:rPr>
          <w:szCs w:val="24"/>
        </w:rPr>
      </w:pPr>
      <w:r w:rsidRPr="002165FA">
        <w:rPr>
          <w:szCs w:val="24"/>
        </w:rPr>
        <w:t xml:space="preserve">= </w:t>
      </w:r>
      <w:r w:rsidRPr="002165FA">
        <w:rPr>
          <w:position w:val="-24"/>
          <w:szCs w:val="24"/>
        </w:rPr>
        <w:object w:dxaOrig="760" w:dyaOrig="620">
          <v:shape id="_x0000_i1032" type="#_x0000_t75" style="width:38.25pt;height:30.75pt" o:ole="" fillcolor="window">
            <v:imagedata r:id="rId23" o:title=""/>
          </v:shape>
          <o:OLEObject Type="Embed" ProgID="Equation.3" ShapeID="_x0000_i1032" DrawAspect="Content" ObjectID="_1619463312" r:id="rId24"/>
        </w:object>
      </w:r>
      <w:r w:rsidRPr="002165FA">
        <w:rPr>
          <w:szCs w:val="24"/>
        </w:rPr>
        <w:t xml:space="preserve"> = $32.10</w:t>
      </w:r>
    </w:p>
    <w:p w:rsidR="00553EF7" w:rsidRPr="002165FA" w:rsidRDefault="00553EF7" w:rsidP="001A4AFE">
      <w:pPr>
        <w:keepNext/>
        <w:keepLines/>
        <w:tabs>
          <w:tab w:val="left" w:pos="-1180"/>
          <w:tab w:val="left" w:pos="-720"/>
          <w:tab w:val="left" w:pos="1080"/>
          <w:tab w:val="left" w:pos="1440"/>
        </w:tabs>
        <w:spacing w:line="480" w:lineRule="auto"/>
        <w:contextualSpacing/>
        <w:rPr>
          <w:szCs w:val="24"/>
        </w:rPr>
      </w:pPr>
      <w:proofErr w:type="gramStart"/>
      <w:r w:rsidRPr="002165FA">
        <w:rPr>
          <w:szCs w:val="24"/>
        </w:rPr>
        <w:t>iv) Capital Gains</w:t>
      </w:r>
      <w:proofErr w:type="gramEnd"/>
      <w:r w:rsidRPr="002165FA">
        <w:rPr>
          <w:szCs w:val="24"/>
        </w:rPr>
        <w:t xml:space="preserve"> Yield = </w:t>
      </w:r>
      <w:r w:rsidRPr="002165FA">
        <w:rPr>
          <w:position w:val="-32"/>
          <w:szCs w:val="24"/>
        </w:rPr>
        <w:object w:dxaOrig="1240" w:dyaOrig="760">
          <v:shape id="_x0000_i1033" type="#_x0000_t75" style="width:62.25pt;height:38.25pt" o:ole="" fillcolor="window">
            <v:imagedata r:id="rId25" o:title=""/>
          </v:shape>
          <o:OLEObject Type="Embed" ProgID="Equation.3" ShapeID="_x0000_i1033" DrawAspect="Content" ObjectID="_1619463313" r:id="rId26"/>
        </w:object>
      </w:r>
      <w:r w:rsidRPr="002165FA">
        <w:rPr>
          <w:szCs w:val="24"/>
        </w:rPr>
        <w:t xml:space="preserve"> = r - </w:t>
      </w:r>
      <w:r w:rsidRPr="002165FA">
        <w:rPr>
          <w:position w:val="-30"/>
          <w:szCs w:val="24"/>
        </w:rPr>
        <w:object w:dxaOrig="600" w:dyaOrig="680">
          <v:shape id="_x0000_i1034" type="#_x0000_t75" style="width:30pt;height:33.75pt" o:ole="" fillcolor="window">
            <v:imagedata r:id="rId27" o:title=""/>
          </v:shape>
          <o:OLEObject Type="Embed" ProgID="Equation.3" ShapeID="_x0000_i1034" DrawAspect="Content" ObjectID="_1619463314" r:id="rId28"/>
        </w:object>
      </w:r>
      <w:r w:rsidRPr="002165FA">
        <w:rPr>
          <w:szCs w:val="24"/>
        </w:rPr>
        <w:t>.</w:t>
      </w:r>
    </w:p>
    <w:p w:rsidR="00553EF7" w:rsidRPr="002165FA" w:rsidRDefault="00553EF7" w:rsidP="002165FA">
      <w:pPr>
        <w:pStyle w:val="BodyTextIndent"/>
        <w:keepNext/>
        <w:keepLines/>
        <w:tabs>
          <w:tab w:val="clear" w:pos="-1080"/>
          <w:tab w:val="clear" w:pos="720"/>
          <w:tab w:val="clear" w:pos="1800"/>
          <w:tab w:val="left" w:pos="-1180"/>
          <w:tab w:val="left" w:pos="0"/>
        </w:tabs>
        <w:spacing w:line="48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2165FA">
        <w:rPr>
          <w:rFonts w:ascii="Times New Roman" w:hAnsi="Times New Roman"/>
          <w:sz w:val="24"/>
          <w:szCs w:val="24"/>
        </w:rPr>
        <w:t>Thus, the dividend yield in the first year is 10 percent, while the capital gains yield is 6 percent:</w:t>
      </w:r>
    </w:p>
    <w:p w:rsidR="00553EF7" w:rsidRPr="002165FA" w:rsidRDefault="00553EF7" w:rsidP="002165FA">
      <w:pPr>
        <w:keepNext/>
        <w:keepLines/>
        <w:tabs>
          <w:tab w:val="left" w:pos="1080"/>
          <w:tab w:val="left" w:pos="1440"/>
        </w:tabs>
        <w:spacing w:line="480" w:lineRule="auto"/>
        <w:ind w:left="1080"/>
        <w:contextualSpacing/>
        <w:rPr>
          <w:szCs w:val="24"/>
        </w:rPr>
      </w:pPr>
      <w:r w:rsidRPr="002165FA">
        <w:rPr>
          <w:szCs w:val="24"/>
        </w:rPr>
        <w:tab/>
      </w:r>
      <w:r w:rsidRPr="002165FA">
        <w:rPr>
          <w:szCs w:val="24"/>
        </w:rPr>
        <w:tab/>
      </w:r>
      <w:r w:rsidRPr="002165FA">
        <w:rPr>
          <w:szCs w:val="24"/>
        </w:rPr>
        <w:tab/>
        <w:t xml:space="preserve">  Total return                              </w:t>
      </w:r>
      <w:r w:rsidRPr="002165FA">
        <w:rPr>
          <w:szCs w:val="24"/>
        </w:rPr>
        <w:tab/>
        <w:t xml:space="preserve">   </w:t>
      </w:r>
      <w:r w:rsidR="00B036C8">
        <w:rPr>
          <w:szCs w:val="24"/>
        </w:rPr>
        <w:t xml:space="preserve">  = 13</w:t>
      </w:r>
      <w:r w:rsidRPr="002165FA">
        <w:rPr>
          <w:szCs w:val="24"/>
        </w:rPr>
        <w:t>%</w:t>
      </w:r>
    </w:p>
    <w:p w:rsidR="00553EF7" w:rsidRPr="002165FA" w:rsidRDefault="00553EF7" w:rsidP="002165FA">
      <w:pPr>
        <w:keepNext/>
        <w:keepLines/>
        <w:tabs>
          <w:tab w:val="left" w:pos="1080"/>
          <w:tab w:val="left" w:pos="1440"/>
        </w:tabs>
        <w:spacing w:line="480" w:lineRule="auto"/>
        <w:ind w:left="1080"/>
        <w:contextualSpacing/>
        <w:jc w:val="center"/>
        <w:rPr>
          <w:szCs w:val="24"/>
        </w:rPr>
      </w:pPr>
      <w:r w:rsidRPr="002165FA">
        <w:rPr>
          <w:szCs w:val="24"/>
        </w:rPr>
        <w:t xml:space="preserve">Dividend yield = $2.12/$30.29             </w:t>
      </w:r>
      <w:r w:rsidR="00B036C8" w:rsidRPr="002165FA">
        <w:rPr>
          <w:szCs w:val="24"/>
        </w:rPr>
        <w:t>=</w:t>
      </w:r>
      <w:r w:rsidR="00B036C8">
        <w:rPr>
          <w:szCs w:val="24"/>
        </w:rPr>
        <w:t xml:space="preserve"> </w:t>
      </w:r>
      <w:r w:rsidR="00B036C8" w:rsidRPr="00B036C8">
        <w:rPr>
          <w:szCs w:val="24"/>
          <w:u w:val="single"/>
        </w:rPr>
        <w:t>7</w:t>
      </w:r>
      <w:r w:rsidRPr="00B036C8">
        <w:rPr>
          <w:szCs w:val="24"/>
          <w:u w:val="single"/>
        </w:rPr>
        <w:t>%</w:t>
      </w:r>
    </w:p>
    <w:p w:rsidR="00452DC8" w:rsidRPr="001A4AFE" w:rsidRDefault="00553EF7" w:rsidP="001A4AFE">
      <w:pPr>
        <w:keepNext/>
        <w:keepLines/>
        <w:tabs>
          <w:tab w:val="left" w:pos="1080"/>
          <w:tab w:val="left" w:pos="1440"/>
        </w:tabs>
        <w:spacing w:line="480" w:lineRule="auto"/>
        <w:ind w:left="1080"/>
        <w:contextualSpacing/>
        <w:rPr>
          <w:szCs w:val="24"/>
        </w:rPr>
      </w:pPr>
      <w:r w:rsidRPr="002165FA">
        <w:rPr>
          <w:szCs w:val="24"/>
        </w:rPr>
        <w:t xml:space="preserve">   </w:t>
      </w:r>
      <w:r w:rsidRPr="002165FA">
        <w:rPr>
          <w:szCs w:val="24"/>
        </w:rPr>
        <w:tab/>
      </w:r>
      <w:r w:rsidRPr="002165FA">
        <w:rPr>
          <w:szCs w:val="24"/>
        </w:rPr>
        <w:tab/>
      </w:r>
      <w:r w:rsidRPr="002165FA">
        <w:rPr>
          <w:szCs w:val="24"/>
        </w:rPr>
        <w:tab/>
        <w:t xml:space="preserve"> Capital gains yield            </w:t>
      </w:r>
      <w:r w:rsidR="00691141">
        <w:rPr>
          <w:szCs w:val="24"/>
        </w:rPr>
        <w:t xml:space="preserve">13% -7% </w:t>
      </w:r>
      <w:r w:rsidR="00B036C8">
        <w:rPr>
          <w:szCs w:val="24"/>
        </w:rPr>
        <w:t>= 6</w:t>
      </w:r>
      <w:r w:rsidR="001A4AFE" w:rsidRPr="00047A60">
        <w:rPr>
          <w:szCs w:val="24"/>
        </w:rPr>
        <w:t>%</w:t>
      </w:r>
    </w:p>
    <w:p w:rsidR="00577D3C" w:rsidRPr="00577D3C" w:rsidRDefault="00261079" w:rsidP="00CE190E">
      <w:pPr>
        <w:tabs>
          <w:tab w:val="left" w:pos="-1080"/>
          <w:tab w:val="left" w:pos="-720"/>
          <w:tab w:val="left" w:pos="1080"/>
          <w:tab w:val="left" w:pos="1440"/>
          <w:tab w:val="left" w:pos="1800"/>
        </w:tabs>
        <w:rPr>
          <w:rFonts w:eastAsiaTheme="minorEastAsia"/>
        </w:rPr>
      </w:pPr>
      <w:r>
        <w:t xml:space="preserve"> </w:t>
      </w:r>
      <w:r>
        <w:rPr>
          <w:vertAlign w:val="subscript"/>
        </w:rPr>
        <w:t xml:space="preserve"> </w:t>
      </w:r>
    </w:p>
    <w:p w:rsidR="00C21D0F" w:rsidRDefault="00C21D0F" w:rsidP="00CF0D36">
      <w:pPr>
        <w:spacing w:line="480" w:lineRule="auto"/>
        <w:rPr>
          <w:rFonts w:eastAsiaTheme="minorEastAsia" w:cstheme="minorHAnsi"/>
          <w:szCs w:val="24"/>
        </w:rPr>
      </w:pPr>
    </w:p>
    <w:p w:rsidR="00DF6445" w:rsidRDefault="00DF6445" w:rsidP="00CF0D36">
      <w:pPr>
        <w:spacing w:line="480" w:lineRule="auto"/>
        <w:rPr>
          <w:rFonts w:eastAsiaTheme="minorEastAsia" w:cstheme="minorHAnsi"/>
          <w:szCs w:val="24"/>
        </w:rPr>
      </w:pPr>
    </w:p>
    <w:p w:rsidR="00DF6445" w:rsidRDefault="00DF6445" w:rsidP="00CF0D36">
      <w:pPr>
        <w:spacing w:line="480" w:lineRule="auto"/>
        <w:rPr>
          <w:rFonts w:eastAsiaTheme="minorEastAsia" w:cstheme="minorHAnsi"/>
          <w:szCs w:val="24"/>
        </w:rPr>
      </w:pPr>
    </w:p>
    <w:p w:rsidR="00CE0114" w:rsidRDefault="00CE0114" w:rsidP="00CF0D36">
      <w:pPr>
        <w:spacing w:line="480" w:lineRule="auto"/>
        <w:rPr>
          <w:rFonts w:eastAsiaTheme="minorEastAsia" w:cstheme="minorHAnsi"/>
          <w:szCs w:val="24"/>
        </w:rPr>
      </w:pPr>
    </w:p>
    <w:p w:rsidR="00C21D0F" w:rsidRPr="00C21D0F" w:rsidRDefault="00C21D0F" w:rsidP="00C21D0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000000"/>
        <w:rPr>
          <w:b/>
          <w:szCs w:val="24"/>
        </w:rPr>
      </w:pPr>
      <w:r>
        <w:rPr>
          <w:b/>
          <w:szCs w:val="24"/>
        </w:rPr>
        <w:lastRenderedPageBreak/>
        <w:t>QUESTION THREE Investment Decision Criteria/Capital Budgeting</w:t>
      </w:r>
    </w:p>
    <w:p w:rsidR="00C21D0F" w:rsidRDefault="00C21D0F" w:rsidP="00CF0D36">
      <w:pPr>
        <w:spacing w:line="480" w:lineRule="auto"/>
        <w:rPr>
          <w:rFonts w:eastAsiaTheme="minorEastAsia" w:cstheme="minorHAnsi"/>
          <w:szCs w:val="24"/>
        </w:rPr>
      </w:pPr>
    </w:p>
    <w:p w:rsidR="00C21D0F" w:rsidRDefault="00CE0114" w:rsidP="00CF0D36">
      <w:pPr>
        <w:spacing w:line="480" w:lineRule="auto"/>
        <w:rPr>
          <w:rFonts w:eastAsiaTheme="minorEastAsia" w:cstheme="minorHAnsi"/>
          <w:szCs w:val="24"/>
        </w:rPr>
      </w:pPr>
      <w:r>
        <w:rPr>
          <w:rFonts w:eastAsiaTheme="minorEastAsia" w:cstheme="minorHAnsi"/>
          <w:szCs w:val="24"/>
        </w:rPr>
        <w:object w:dxaOrig="8940" w:dyaOrig="3078">
          <v:shape id="_x0000_i1035" type="#_x0000_t75" style="width:447pt;height:153.75pt" o:ole="">
            <v:imagedata r:id="rId29" o:title=""/>
          </v:shape>
          <o:OLEObject Type="Embed" ProgID="Excel.Sheet.12" ShapeID="_x0000_i1035" DrawAspect="Content" ObjectID="_1619463315" r:id="rId30"/>
        </w:object>
      </w:r>
    </w:p>
    <w:p w:rsidR="00C21D0F" w:rsidRPr="00C21D0F" w:rsidRDefault="00C21D0F" w:rsidP="00C21D0F">
      <w:pPr>
        <w:rPr>
          <w:rFonts w:eastAsiaTheme="minorEastAsia" w:cstheme="minorHAnsi"/>
          <w:szCs w:val="24"/>
        </w:rPr>
      </w:pPr>
    </w:p>
    <w:p w:rsidR="00ED5F24" w:rsidRDefault="00AB2388" w:rsidP="00F1039B">
      <w:pPr>
        <w:spacing w:line="480" w:lineRule="auto"/>
        <w:rPr>
          <w:szCs w:val="24"/>
          <w:lang w:val="en-GB"/>
        </w:rPr>
      </w:pPr>
      <w:r>
        <w:rPr>
          <w:rFonts w:eastAsiaTheme="minorEastAsia" w:cstheme="minorHAnsi"/>
          <w:szCs w:val="24"/>
        </w:rPr>
        <w:t xml:space="preserve">Alex should not invest based on </w:t>
      </w:r>
      <w:r w:rsidR="002D682A">
        <w:rPr>
          <w:rFonts w:eastAsiaTheme="minorEastAsia" w:cstheme="minorHAnsi"/>
          <w:szCs w:val="24"/>
        </w:rPr>
        <w:t>the crackpot ideas but sh</w:t>
      </w:r>
      <w:r w:rsidR="00235475">
        <w:rPr>
          <w:rFonts w:eastAsiaTheme="minorEastAsia" w:cstheme="minorHAnsi"/>
          <w:szCs w:val="24"/>
        </w:rPr>
        <w:t xml:space="preserve">ould rather consider capital </w:t>
      </w:r>
      <w:r w:rsidR="00F1039B">
        <w:rPr>
          <w:rFonts w:eastAsiaTheme="minorEastAsia" w:cstheme="minorHAnsi"/>
          <w:szCs w:val="24"/>
        </w:rPr>
        <w:t>budgeting</w:t>
      </w:r>
      <w:r w:rsidR="00235475">
        <w:rPr>
          <w:rFonts w:eastAsiaTheme="minorEastAsia" w:cstheme="minorHAnsi"/>
          <w:szCs w:val="24"/>
        </w:rPr>
        <w:t xml:space="preserve"> techniques to determine whether the investment is viable or not. Based on the calculation above, </w:t>
      </w:r>
      <w:r w:rsidR="00C51DC3">
        <w:rPr>
          <w:rFonts w:eastAsiaTheme="minorEastAsia" w:cstheme="minorHAnsi"/>
          <w:szCs w:val="24"/>
        </w:rPr>
        <w:t xml:space="preserve">the discount rate of </w:t>
      </w:r>
      <w:r>
        <w:rPr>
          <w:rFonts w:eastAsiaTheme="minorEastAsia" w:cstheme="minorHAnsi"/>
          <w:szCs w:val="24"/>
        </w:rPr>
        <w:t>23%</w:t>
      </w:r>
      <w:r w:rsidR="00C51DC3">
        <w:rPr>
          <w:rFonts w:eastAsiaTheme="minorEastAsia" w:cstheme="minorHAnsi"/>
          <w:szCs w:val="24"/>
        </w:rPr>
        <w:t xml:space="preserve"> proposed by the </w:t>
      </w:r>
      <w:r w:rsidR="00C51DC3">
        <w:rPr>
          <w:szCs w:val="24"/>
          <w:lang w:val="en-GB"/>
        </w:rPr>
        <w:t xml:space="preserve">Westpac Bank Risk Management team should be rejected and Alex should only consider a discount rate of 10% since it would generate </w:t>
      </w:r>
      <w:r w:rsidR="00F1039B">
        <w:rPr>
          <w:szCs w:val="24"/>
          <w:lang w:val="en-GB"/>
        </w:rPr>
        <w:t xml:space="preserve">positive outflows over the 20 year period.  </w:t>
      </w:r>
    </w:p>
    <w:p w:rsidR="00ED5F24" w:rsidRDefault="00ED5F24" w:rsidP="00F1039B">
      <w:pPr>
        <w:spacing w:line="480" w:lineRule="auto"/>
        <w:rPr>
          <w:b/>
          <w:szCs w:val="24"/>
        </w:rPr>
      </w:pPr>
      <w:r>
        <w:rPr>
          <w:b/>
          <w:szCs w:val="24"/>
        </w:rPr>
        <w:t>QUESTION FOUR Risk and Return</w:t>
      </w:r>
    </w:p>
    <w:p w:rsidR="003D6C95" w:rsidRPr="00CE0114" w:rsidRDefault="003D6C95" w:rsidP="00F1039B">
      <w:pPr>
        <w:pStyle w:val="ListParagraph"/>
        <w:numPr>
          <w:ilvl w:val="0"/>
          <w:numId w:val="5"/>
        </w:numPr>
        <w:spacing w:line="480" w:lineRule="auto"/>
        <w:rPr>
          <w:b/>
          <w:szCs w:val="24"/>
        </w:rPr>
      </w:pPr>
      <w:r>
        <w:rPr>
          <w:b/>
          <w:szCs w:val="24"/>
        </w:rPr>
        <w:t xml:space="preserve">Capital allocation </w:t>
      </w:r>
      <w:r w:rsidR="007A0308">
        <w:rPr>
          <w:b/>
          <w:szCs w:val="24"/>
        </w:rPr>
        <w:t>Line</w:t>
      </w: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48EB50A" wp14:editId="39FF30B5">
            <wp:extent cx="6105525" cy="3629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0E78B2" w:rsidRPr="00334EF2" w:rsidRDefault="00663CC5" w:rsidP="000E78B2">
      <w:pPr>
        <w:pStyle w:val="ListParagraph"/>
        <w:numPr>
          <w:ilvl w:val="0"/>
          <w:numId w:val="7"/>
        </w:numPr>
        <w:spacing w:line="480" w:lineRule="auto"/>
        <w:rPr>
          <w:szCs w:val="24"/>
          <w:lang w:val="en-GB"/>
        </w:rPr>
      </w:pPr>
      <w:r w:rsidRPr="005315C2">
        <w:rPr>
          <w:szCs w:val="24"/>
          <w:lang w:val="en-GB"/>
        </w:rPr>
        <w:t>For</w:t>
      </w:r>
      <w:r w:rsidR="000E78B2" w:rsidRPr="005315C2">
        <w:rPr>
          <w:szCs w:val="24"/>
          <w:lang w:val="en-GB"/>
        </w:rPr>
        <w:t xml:space="preserve"> the investment to have a 12% Portfolio standard deviation </w:t>
      </w:r>
      <w:r>
        <w:rPr>
          <w:szCs w:val="24"/>
          <w:lang w:val="en-GB"/>
        </w:rPr>
        <w:t xml:space="preserve">the required </w:t>
      </w:r>
      <w:r w:rsidR="007C6FDC">
        <w:rPr>
          <w:szCs w:val="24"/>
          <w:lang w:val="en-GB"/>
        </w:rPr>
        <w:t xml:space="preserve">proportion for </w:t>
      </w:r>
      <w:r w:rsidR="007C6FDC">
        <w:rPr>
          <w:szCs w:val="24"/>
          <w:lang w:val="en-US" w:eastAsia="en-AU"/>
        </w:rPr>
        <w:t>DREXLA and OGATO</w:t>
      </w:r>
      <w:r w:rsidR="007C6FDC">
        <w:rPr>
          <w:szCs w:val="24"/>
          <w:lang w:val="en-US" w:eastAsia="en-AU"/>
        </w:rPr>
        <w:t xml:space="preserve"> should be </w:t>
      </w:r>
      <w:r w:rsidR="007C6FDC">
        <w:rPr>
          <w:szCs w:val="24"/>
          <w:lang w:val="en-GB"/>
        </w:rPr>
        <w:t>55</w:t>
      </w:r>
      <w:r w:rsidR="00CE0114">
        <w:rPr>
          <w:szCs w:val="24"/>
          <w:lang w:val="en-GB"/>
        </w:rPr>
        <w:t>:</w:t>
      </w:r>
      <w:r w:rsidR="007C6FDC">
        <w:rPr>
          <w:szCs w:val="24"/>
          <w:lang w:val="en-GB"/>
        </w:rPr>
        <w:t>45</w:t>
      </w:r>
      <w:r w:rsidR="000E78B2" w:rsidRPr="005315C2">
        <w:rPr>
          <w:szCs w:val="24"/>
          <w:lang w:val="en-GB"/>
        </w:rPr>
        <w:t xml:space="preserve">. </w:t>
      </w: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Default="00AD7F2A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F14565" w:rsidRDefault="00F14565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AD7F2A" w:rsidRPr="00F0519F" w:rsidRDefault="00AD7F2A" w:rsidP="00F0519F">
      <w:pPr>
        <w:spacing w:line="480" w:lineRule="auto"/>
        <w:ind w:left="720" w:hangingChars="300" w:hanging="720"/>
        <w:contextualSpacing/>
        <w:rPr>
          <w:szCs w:val="24"/>
          <w:lang w:val="en-US"/>
        </w:rPr>
      </w:pPr>
      <w:r w:rsidRPr="00F0519F">
        <w:rPr>
          <w:szCs w:val="24"/>
          <w:lang w:val="en-US"/>
        </w:rPr>
        <w:lastRenderedPageBreak/>
        <w:t xml:space="preserve">References </w:t>
      </w:r>
    </w:p>
    <w:p w:rsidR="00AD7F2A" w:rsidRPr="00F0519F" w:rsidRDefault="00AD7F2A" w:rsidP="00F0519F">
      <w:pPr>
        <w:spacing w:line="480" w:lineRule="auto"/>
        <w:ind w:left="720" w:hangingChars="300" w:hanging="720"/>
        <w:contextualSpacing/>
        <w:rPr>
          <w:szCs w:val="24"/>
          <w:shd w:val="clear" w:color="auto" w:fill="FFFFFF"/>
        </w:rPr>
      </w:pPr>
      <w:r w:rsidRPr="00F0519F">
        <w:rPr>
          <w:rStyle w:val="Emphasis"/>
          <w:szCs w:val="24"/>
          <w:shd w:val="clear" w:color="auto" w:fill="FFFFFF"/>
        </w:rPr>
        <w:t>CFA/</w:t>
      </w:r>
      <w:proofErr w:type="gramStart"/>
      <w:r w:rsidRPr="00F0519F">
        <w:rPr>
          <w:rStyle w:val="Emphasis"/>
          <w:szCs w:val="24"/>
          <w:shd w:val="clear" w:color="auto" w:fill="FFFFFF"/>
        </w:rPr>
        <w:t>FRM :</w:t>
      </w:r>
      <w:proofErr w:type="gramEnd"/>
      <w:r w:rsidRPr="00F0519F">
        <w:rPr>
          <w:rStyle w:val="Emphasis"/>
          <w:szCs w:val="24"/>
          <w:shd w:val="clear" w:color="auto" w:fill="FFFFFF"/>
        </w:rPr>
        <w:t xml:space="preserve"> How to Build Efficient Frontier in Excel - Part 1 (of 2)</w:t>
      </w:r>
      <w:r w:rsidRPr="00F0519F">
        <w:rPr>
          <w:szCs w:val="24"/>
          <w:shd w:val="clear" w:color="auto" w:fill="FFFFFF"/>
        </w:rPr>
        <w:t xml:space="preserve"> [Video file]. (2018, February 13). Retrieved from </w:t>
      </w:r>
      <w:hyperlink r:id="rId32" w:history="1">
        <w:r w:rsidR="00F0519F" w:rsidRPr="00F0519F">
          <w:rPr>
            <w:rStyle w:val="Hyperlink"/>
            <w:color w:val="auto"/>
            <w:szCs w:val="24"/>
            <w:shd w:val="clear" w:color="auto" w:fill="FFFFFF"/>
          </w:rPr>
          <w:t>https://www.youtube</w:t>
        </w:r>
        <w:r w:rsidR="00F0519F" w:rsidRPr="00F0519F">
          <w:rPr>
            <w:rStyle w:val="Hyperlink"/>
            <w:color w:val="auto"/>
            <w:szCs w:val="24"/>
            <w:shd w:val="clear" w:color="auto" w:fill="FFFFFF"/>
          </w:rPr>
          <w:t>.</w:t>
        </w:r>
        <w:r w:rsidR="00F0519F" w:rsidRPr="00F0519F">
          <w:rPr>
            <w:rStyle w:val="Hyperlink"/>
            <w:color w:val="auto"/>
            <w:szCs w:val="24"/>
            <w:shd w:val="clear" w:color="auto" w:fill="FFFFFF"/>
          </w:rPr>
          <w:t>com/watch?v=jAkgzIqGmaY</w:t>
        </w:r>
      </w:hyperlink>
    </w:p>
    <w:p w:rsidR="00F0519F" w:rsidRPr="00F0519F" w:rsidRDefault="00F0519F" w:rsidP="00F0519F">
      <w:pPr>
        <w:spacing w:line="480" w:lineRule="auto"/>
        <w:ind w:left="720" w:hangingChars="300" w:hanging="720"/>
        <w:contextualSpacing/>
        <w:rPr>
          <w:szCs w:val="24"/>
          <w:shd w:val="clear" w:color="auto" w:fill="FFFFFF"/>
        </w:rPr>
      </w:pPr>
      <w:proofErr w:type="spellStart"/>
      <w:r w:rsidRPr="00F0519F">
        <w:rPr>
          <w:szCs w:val="24"/>
          <w:shd w:val="clear" w:color="auto" w:fill="FFFFFF"/>
        </w:rPr>
        <w:t>Juhász</w:t>
      </w:r>
      <w:proofErr w:type="spellEnd"/>
      <w:r w:rsidRPr="00F0519F">
        <w:rPr>
          <w:szCs w:val="24"/>
          <w:shd w:val="clear" w:color="auto" w:fill="FFFFFF"/>
        </w:rPr>
        <w:t xml:space="preserve">, L. (2011). </w:t>
      </w:r>
      <w:proofErr w:type="gramStart"/>
      <w:r w:rsidRPr="00F0519F">
        <w:rPr>
          <w:szCs w:val="24"/>
          <w:shd w:val="clear" w:color="auto" w:fill="FFFFFF"/>
        </w:rPr>
        <w:t>Net present value versus internal rate of return.</w:t>
      </w:r>
      <w:proofErr w:type="gramEnd"/>
      <w:r w:rsidRPr="00F0519F">
        <w:rPr>
          <w:szCs w:val="24"/>
          <w:shd w:val="clear" w:color="auto" w:fill="FFFFFF"/>
        </w:rPr>
        <w:t> </w:t>
      </w:r>
      <w:r w:rsidRPr="00F0519F">
        <w:rPr>
          <w:i/>
          <w:iCs/>
          <w:szCs w:val="24"/>
          <w:shd w:val="clear" w:color="auto" w:fill="FFFFFF"/>
        </w:rPr>
        <w:t>Economics &amp; Sociology</w:t>
      </w:r>
      <w:r w:rsidRPr="00F0519F">
        <w:rPr>
          <w:szCs w:val="24"/>
          <w:shd w:val="clear" w:color="auto" w:fill="FFFFFF"/>
        </w:rPr>
        <w:t>, </w:t>
      </w:r>
      <w:r w:rsidRPr="00F0519F">
        <w:rPr>
          <w:i/>
          <w:iCs/>
          <w:szCs w:val="24"/>
          <w:shd w:val="clear" w:color="auto" w:fill="FFFFFF"/>
        </w:rPr>
        <w:t>4</w:t>
      </w:r>
      <w:r w:rsidRPr="00F0519F">
        <w:rPr>
          <w:szCs w:val="24"/>
          <w:shd w:val="clear" w:color="auto" w:fill="FFFFFF"/>
        </w:rPr>
        <w:t>(1), 46-53.</w:t>
      </w:r>
    </w:p>
    <w:p w:rsidR="00F0519F" w:rsidRPr="00273439" w:rsidRDefault="00F0519F" w:rsidP="00490FD0">
      <w:pPr>
        <w:rPr>
          <w:rFonts w:ascii="Calibri" w:hAnsi="Calibri"/>
          <w:color w:val="000000"/>
          <w:sz w:val="22"/>
          <w:szCs w:val="22"/>
          <w:lang w:val="en-US"/>
        </w:rPr>
      </w:pPr>
    </w:p>
    <w:sectPr w:rsidR="00F0519F" w:rsidRPr="00273439" w:rsidSect="00F0519F">
      <w:headerReference w:type="default" r:id="rId33"/>
      <w:head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99" w:rsidRDefault="00B25399" w:rsidP="00F0519F">
      <w:r>
        <w:separator/>
      </w:r>
    </w:p>
  </w:endnote>
  <w:endnote w:type="continuationSeparator" w:id="0">
    <w:p w:rsidR="00B25399" w:rsidRDefault="00B25399" w:rsidP="00F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99" w:rsidRDefault="00B25399" w:rsidP="00F0519F">
      <w:r>
        <w:separator/>
      </w:r>
    </w:p>
  </w:footnote>
  <w:footnote w:type="continuationSeparator" w:id="0">
    <w:p w:rsidR="00B25399" w:rsidRDefault="00B25399" w:rsidP="00F0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9F" w:rsidRDefault="00F0519F">
    <w:pPr>
      <w:pStyle w:val="Header"/>
      <w:jc w:val="right"/>
    </w:pPr>
    <w:r w:rsidRPr="00DF6445">
      <w:rPr>
        <w:szCs w:val="24"/>
      </w:rPr>
      <w:t>BUACC5936</w:t>
    </w:r>
    <w:r>
      <w:rPr>
        <w:szCs w:val="24"/>
      </w:rPr>
      <w:t xml:space="preserve">                                                                                                                                    </w:t>
    </w:r>
    <w:sdt>
      <w:sdtPr>
        <w:id w:val="13601673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5E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0519F" w:rsidRDefault="00F05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9F" w:rsidRDefault="00F0519F">
    <w:pPr>
      <w:pStyle w:val="Header"/>
      <w:jc w:val="right"/>
    </w:pPr>
    <w:r>
      <w:rPr>
        <w:szCs w:val="24"/>
      </w:rPr>
      <w:t xml:space="preserve">Running head: </w:t>
    </w:r>
    <w:r w:rsidRPr="00DF6445">
      <w:rPr>
        <w:szCs w:val="24"/>
      </w:rPr>
      <w:t>BUACC5936</w:t>
    </w:r>
    <w:r>
      <w:rPr>
        <w:szCs w:val="24"/>
      </w:rPr>
      <w:t xml:space="preserve">                                                                                                           </w:t>
    </w:r>
    <w:sdt>
      <w:sdtPr>
        <w:id w:val="17509241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5E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0519F" w:rsidRDefault="00F05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E12"/>
    <w:multiLevelType w:val="hybridMultilevel"/>
    <w:tmpl w:val="E6B411DC"/>
    <w:lvl w:ilvl="0" w:tplc="9A82F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079"/>
    <w:multiLevelType w:val="hybridMultilevel"/>
    <w:tmpl w:val="A6EAD908"/>
    <w:lvl w:ilvl="0" w:tplc="9A82F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550"/>
    <w:multiLevelType w:val="hybridMultilevel"/>
    <w:tmpl w:val="A6EAD908"/>
    <w:lvl w:ilvl="0" w:tplc="9A82F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3236"/>
    <w:multiLevelType w:val="hybridMultilevel"/>
    <w:tmpl w:val="95BE300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34874"/>
    <w:multiLevelType w:val="hybridMultilevel"/>
    <w:tmpl w:val="E6B411DC"/>
    <w:lvl w:ilvl="0" w:tplc="9A82F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1196"/>
    <w:multiLevelType w:val="hybridMultilevel"/>
    <w:tmpl w:val="E1F07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F2A01"/>
    <w:multiLevelType w:val="hybridMultilevel"/>
    <w:tmpl w:val="EB62A126"/>
    <w:lvl w:ilvl="0" w:tplc="4B045B2A">
      <w:start w:val="1"/>
      <w:numFmt w:val="upp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zAwNDc3MrIwMzNX0lEKTi0uzszPAykwqgUAQPXO/CwAAAA="/>
  </w:docVars>
  <w:rsids>
    <w:rsidRoot w:val="00BE1499"/>
    <w:rsid w:val="000304D7"/>
    <w:rsid w:val="000410B9"/>
    <w:rsid w:val="00047A60"/>
    <w:rsid w:val="000545AE"/>
    <w:rsid w:val="00083B41"/>
    <w:rsid w:val="0009228B"/>
    <w:rsid w:val="000B4340"/>
    <w:rsid w:val="000B7396"/>
    <w:rsid w:val="000C2922"/>
    <w:rsid w:val="000C58D7"/>
    <w:rsid w:val="000D5B44"/>
    <w:rsid w:val="000E78B2"/>
    <w:rsid w:val="000F2726"/>
    <w:rsid w:val="00167FE8"/>
    <w:rsid w:val="00177C7C"/>
    <w:rsid w:val="001A4AFE"/>
    <w:rsid w:val="001A4C79"/>
    <w:rsid w:val="001B2A1C"/>
    <w:rsid w:val="001F40DC"/>
    <w:rsid w:val="002165FA"/>
    <w:rsid w:val="002233E1"/>
    <w:rsid w:val="00223471"/>
    <w:rsid w:val="00235475"/>
    <w:rsid w:val="00236118"/>
    <w:rsid w:val="002375CC"/>
    <w:rsid w:val="00261079"/>
    <w:rsid w:val="00273439"/>
    <w:rsid w:val="002879B7"/>
    <w:rsid w:val="00295A81"/>
    <w:rsid w:val="002C7308"/>
    <w:rsid w:val="002D1D94"/>
    <w:rsid w:val="002D682A"/>
    <w:rsid w:val="002E5E85"/>
    <w:rsid w:val="002F04BE"/>
    <w:rsid w:val="00314C6B"/>
    <w:rsid w:val="00314F0B"/>
    <w:rsid w:val="00334EF2"/>
    <w:rsid w:val="003440FD"/>
    <w:rsid w:val="003A1F8A"/>
    <w:rsid w:val="003C07DF"/>
    <w:rsid w:val="003C7D54"/>
    <w:rsid w:val="003D6C95"/>
    <w:rsid w:val="0040297B"/>
    <w:rsid w:val="00403B61"/>
    <w:rsid w:val="004159A5"/>
    <w:rsid w:val="00450318"/>
    <w:rsid w:val="00452DC8"/>
    <w:rsid w:val="00456CC1"/>
    <w:rsid w:val="004604C4"/>
    <w:rsid w:val="00490FD0"/>
    <w:rsid w:val="004C0686"/>
    <w:rsid w:val="004C29BB"/>
    <w:rsid w:val="004D13C1"/>
    <w:rsid w:val="004D778A"/>
    <w:rsid w:val="004E0D08"/>
    <w:rsid w:val="004F2AD6"/>
    <w:rsid w:val="004F327B"/>
    <w:rsid w:val="004F4F70"/>
    <w:rsid w:val="00517679"/>
    <w:rsid w:val="00526630"/>
    <w:rsid w:val="005315C2"/>
    <w:rsid w:val="00540E47"/>
    <w:rsid w:val="00550B2F"/>
    <w:rsid w:val="00553007"/>
    <w:rsid w:val="00553EF7"/>
    <w:rsid w:val="00576D2E"/>
    <w:rsid w:val="00577D3C"/>
    <w:rsid w:val="005F69BD"/>
    <w:rsid w:val="00645AD4"/>
    <w:rsid w:val="006535E3"/>
    <w:rsid w:val="00663CC5"/>
    <w:rsid w:val="00677BAE"/>
    <w:rsid w:val="00683E02"/>
    <w:rsid w:val="0068475D"/>
    <w:rsid w:val="00690838"/>
    <w:rsid w:val="00691141"/>
    <w:rsid w:val="006D02D4"/>
    <w:rsid w:val="00706D81"/>
    <w:rsid w:val="00710594"/>
    <w:rsid w:val="007252AE"/>
    <w:rsid w:val="007443B4"/>
    <w:rsid w:val="00762F74"/>
    <w:rsid w:val="007807E7"/>
    <w:rsid w:val="007A0308"/>
    <w:rsid w:val="007C0272"/>
    <w:rsid w:val="007C6FDC"/>
    <w:rsid w:val="007E49A8"/>
    <w:rsid w:val="00812A9D"/>
    <w:rsid w:val="008252E9"/>
    <w:rsid w:val="00892179"/>
    <w:rsid w:val="008C178B"/>
    <w:rsid w:val="008E6B37"/>
    <w:rsid w:val="008E7700"/>
    <w:rsid w:val="008F395C"/>
    <w:rsid w:val="00904676"/>
    <w:rsid w:val="00916666"/>
    <w:rsid w:val="00942E1A"/>
    <w:rsid w:val="00990207"/>
    <w:rsid w:val="009A26C5"/>
    <w:rsid w:val="009A40B6"/>
    <w:rsid w:val="009F5C9D"/>
    <w:rsid w:val="00A01990"/>
    <w:rsid w:val="00A52596"/>
    <w:rsid w:val="00A53996"/>
    <w:rsid w:val="00A84AB5"/>
    <w:rsid w:val="00A927B0"/>
    <w:rsid w:val="00AA7FC1"/>
    <w:rsid w:val="00AB2388"/>
    <w:rsid w:val="00AB3A0A"/>
    <w:rsid w:val="00AC13C7"/>
    <w:rsid w:val="00AD309A"/>
    <w:rsid w:val="00AD7F2A"/>
    <w:rsid w:val="00AE6B01"/>
    <w:rsid w:val="00B036C8"/>
    <w:rsid w:val="00B045C4"/>
    <w:rsid w:val="00B075E2"/>
    <w:rsid w:val="00B25399"/>
    <w:rsid w:val="00B2607A"/>
    <w:rsid w:val="00B371B8"/>
    <w:rsid w:val="00B44C01"/>
    <w:rsid w:val="00B623A4"/>
    <w:rsid w:val="00BC2B34"/>
    <w:rsid w:val="00BE1499"/>
    <w:rsid w:val="00BE5F05"/>
    <w:rsid w:val="00C03080"/>
    <w:rsid w:val="00C21D0F"/>
    <w:rsid w:val="00C22525"/>
    <w:rsid w:val="00C51DC3"/>
    <w:rsid w:val="00C62C19"/>
    <w:rsid w:val="00C81C3A"/>
    <w:rsid w:val="00C977EE"/>
    <w:rsid w:val="00CA3185"/>
    <w:rsid w:val="00CA4920"/>
    <w:rsid w:val="00CB1988"/>
    <w:rsid w:val="00CB6E98"/>
    <w:rsid w:val="00CE0114"/>
    <w:rsid w:val="00CE190E"/>
    <w:rsid w:val="00CF0D36"/>
    <w:rsid w:val="00CF1C7A"/>
    <w:rsid w:val="00CF3269"/>
    <w:rsid w:val="00D12807"/>
    <w:rsid w:val="00D15DB8"/>
    <w:rsid w:val="00D51E76"/>
    <w:rsid w:val="00D53BE1"/>
    <w:rsid w:val="00D64E7F"/>
    <w:rsid w:val="00D91115"/>
    <w:rsid w:val="00DB3669"/>
    <w:rsid w:val="00DD446F"/>
    <w:rsid w:val="00DF553E"/>
    <w:rsid w:val="00DF6445"/>
    <w:rsid w:val="00E63E33"/>
    <w:rsid w:val="00E641A5"/>
    <w:rsid w:val="00E765E2"/>
    <w:rsid w:val="00E970D3"/>
    <w:rsid w:val="00EB4237"/>
    <w:rsid w:val="00EC2C5B"/>
    <w:rsid w:val="00EC5C35"/>
    <w:rsid w:val="00ED0476"/>
    <w:rsid w:val="00ED2FA0"/>
    <w:rsid w:val="00ED3E2A"/>
    <w:rsid w:val="00ED5F24"/>
    <w:rsid w:val="00F0484B"/>
    <w:rsid w:val="00F0519F"/>
    <w:rsid w:val="00F1039B"/>
    <w:rsid w:val="00F14565"/>
    <w:rsid w:val="00F23AB5"/>
    <w:rsid w:val="00F4052E"/>
    <w:rsid w:val="00F40FC9"/>
    <w:rsid w:val="00F61892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3A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4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7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02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uiPriority w:val="99"/>
    <w:unhideWhenUsed/>
    <w:rsid w:val="002F04BE"/>
    <w:rPr>
      <w:color w:val="0000FF"/>
      <w:u w:val="single"/>
    </w:rPr>
  </w:style>
  <w:style w:type="paragraph" w:customStyle="1" w:styleId="western">
    <w:name w:val="western"/>
    <w:basedOn w:val="Normal"/>
    <w:rsid w:val="00D64E7F"/>
    <w:pPr>
      <w:spacing w:before="100" w:beforeAutospacing="1" w:after="100" w:afterAutospacing="1"/>
    </w:pPr>
    <w:rPr>
      <w:szCs w:val="24"/>
      <w:lang w:val="en-US"/>
    </w:rPr>
  </w:style>
  <w:style w:type="paragraph" w:styleId="BodyTextIndent">
    <w:name w:val="Body Text Indent"/>
    <w:basedOn w:val="Normal"/>
    <w:link w:val="BodyTextIndentChar"/>
    <w:rsid w:val="00553EF7"/>
    <w:pPr>
      <w:widowControl w:val="0"/>
      <w:tabs>
        <w:tab w:val="left" w:pos="-1080"/>
        <w:tab w:val="left" w:pos="-720"/>
        <w:tab w:val="left" w:pos="720"/>
        <w:tab w:val="left" w:pos="1080"/>
        <w:tab w:val="left" w:pos="1440"/>
        <w:tab w:val="left" w:pos="1800"/>
      </w:tabs>
      <w:spacing w:line="240" w:lineRule="exact"/>
      <w:ind w:left="1080"/>
      <w:jc w:val="both"/>
    </w:pPr>
    <w:rPr>
      <w:rFonts w:ascii="Courier New" w:hAnsi="Courier New"/>
      <w:snapToGrid w:val="0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53EF7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F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9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62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3A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4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7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02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uiPriority w:val="99"/>
    <w:unhideWhenUsed/>
    <w:rsid w:val="002F04BE"/>
    <w:rPr>
      <w:color w:val="0000FF"/>
      <w:u w:val="single"/>
    </w:rPr>
  </w:style>
  <w:style w:type="paragraph" w:customStyle="1" w:styleId="western">
    <w:name w:val="western"/>
    <w:basedOn w:val="Normal"/>
    <w:rsid w:val="00D64E7F"/>
    <w:pPr>
      <w:spacing w:before="100" w:beforeAutospacing="1" w:after="100" w:afterAutospacing="1"/>
    </w:pPr>
    <w:rPr>
      <w:szCs w:val="24"/>
      <w:lang w:val="en-US"/>
    </w:rPr>
  </w:style>
  <w:style w:type="paragraph" w:styleId="BodyTextIndent">
    <w:name w:val="Body Text Indent"/>
    <w:basedOn w:val="Normal"/>
    <w:link w:val="BodyTextIndentChar"/>
    <w:rsid w:val="00553EF7"/>
    <w:pPr>
      <w:widowControl w:val="0"/>
      <w:tabs>
        <w:tab w:val="left" w:pos="-1080"/>
        <w:tab w:val="left" w:pos="-720"/>
        <w:tab w:val="left" w:pos="720"/>
        <w:tab w:val="left" w:pos="1080"/>
        <w:tab w:val="left" w:pos="1440"/>
        <w:tab w:val="left" w:pos="1800"/>
      </w:tabs>
      <w:spacing w:line="240" w:lineRule="exact"/>
      <w:ind w:left="1080"/>
      <w:jc w:val="both"/>
    </w:pPr>
    <w:rPr>
      <w:rFonts w:ascii="Courier New" w:hAnsi="Courier New"/>
      <w:snapToGrid w:val="0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53EF7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F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9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62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yperlink" Target="https://www.youtube.com/watch?v=jAkgzIqGma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package" Target="embeddings/Microsoft_Excel_Worksheet1.xlsx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p\Documents\capital%20l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Capital Allocation Line Graph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Sheet1!$C$2:$C$12</c:f>
              <c:numCache>
                <c:formatCode>0.00%</c:formatCode>
                <c:ptCount val="11"/>
                <c:pt idx="0">
                  <c:v>0.2</c:v>
                </c:pt>
                <c:pt idx="1">
                  <c:v>0.19400000000000001</c:v>
                </c:pt>
                <c:pt idx="2">
                  <c:v>0.18969449122207005</c:v>
                </c:pt>
                <c:pt idx="3">
                  <c:v>0.18720042734993955</c:v>
                </c:pt>
                <c:pt idx="4">
                  <c:v>0.18659046063504961</c:v>
                </c:pt>
                <c:pt idx="5">
                  <c:v>0.18788294228055938</c:v>
                </c:pt>
                <c:pt idx="6">
                  <c:v>0.19103926298015286</c:v>
                </c:pt>
                <c:pt idx="7">
                  <c:v>0.19596938536414304</c:v>
                </c:pt>
                <c:pt idx="8">
                  <c:v>0.20254382241875463</c:v>
                </c:pt>
                <c:pt idx="9">
                  <c:v>0.21060864179800409</c:v>
                </c:pt>
                <c:pt idx="10">
                  <c:v>0.22</c:v>
                </c:pt>
              </c:numCache>
            </c:numRef>
          </c:xVal>
          <c:yVal>
            <c:numRef>
              <c:f>Sheet1!$D$2:$D$12</c:f>
              <c:numCache>
                <c:formatCode>0.00%</c:formatCode>
                <c:ptCount val="11"/>
                <c:pt idx="0">
                  <c:v>0.14000000000000001</c:v>
                </c:pt>
                <c:pt idx="1">
                  <c:v>0.14400000000000002</c:v>
                </c:pt>
                <c:pt idx="2">
                  <c:v>0.14800000000000002</c:v>
                </c:pt>
                <c:pt idx="3">
                  <c:v>0.152</c:v>
                </c:pt>
                <c:pt idx="4">
                  <c:v>0.156</c:v>
                </c:pt>
                <c:pt idx="5">
                  <c:v>0.16</c:v>
                </c:pt>
                <c:pt idx="6">
                  <c:v>0.16400000000000001</c:v>
                </c:pt>
                <c:pt idx="7">
                  <c:v>0.16800000000000001</c:v>
                </c:pt>
                <c:pt idx="8">
                  <c:v>0.17199999999999999</c:v>
                </c:pt>
                <c:pt idx="9">
                  <c:v>0.17599999999999999</c:v>
                </c:pt>
                <c:pt idx="10">
                  <c:v>0.18</c:v>
                </c:pt>
              </c:numCache>
            </c:numRef>
          </c:yVal>
          <c:smooth val="0"/>
        </c:ser>
        <c:ser>
          <c:idx val="1"/>
          <c:order val="1"/>
          <c:tx>
            <c:v>Capital Allocation line</c:v>
          </c:tx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0.2088743678790744"/>
                  <c:y val="-4.0058238988783121E-2"/>
                </c:manualLayout>
              </c:layout>
              <c:numFmt formatCode="General" sourceLinked="0"/>
            </c:trendlineLbl>
          </c:trendline>
          <c:xVal>
            <c:numRef>
              <c:f>Sheet1!$D$25:$D$47</c:f>
              <c:numCache>
                <c:formatCode>0.00%</c:formatCode>
                <c:ptCount val="23"/>
                <c:pt idx="0">
                  <c:v>0</c:v>
                </c:pt>
                <c:pt idx="1">
                  <c:v>1.0536973923718123E-2</c:v>
                </c:pt>
                <c:pt idx="2">
                  <c:v>2.1073947847436245E-2</c:v>
                </c:pt>
                <c:pt idx="3">
                  <c:v>3.161092177115437E-2</c:v>
                </c:pt>
                <c:pt idx="4">
                  <c:v>4.2147895694872491E-2</c:v>
                </c:pt>
                <c:pt idx="5">
                  <c:v>5.2684869618590618E-2</c:v>
                </c:pt>
                <c:pt idx="6">
                  <c:v>6.3221843542308739E-2</c:v>
                </c:pt>
                <c:pt idx="7">
                  <c:v>7.375881746602686E-2</c:v>
                </c:pt>
                <c:pt idx="8">
                  <c:v>8.4295791389744981E-2</c:v>
                </c:pt>
                <c:pt idx="9">
                  <c:v>9.4832765313463116E-2</c:v>
                </c:pt>
                <c:pt idx="10">
                  <c:v>0.10536973923718124</c:v>
                </c:pt>
                <c:pt idx="11">
                  <c:v>0.11590671316089933</c:v>
                </c:pt>
                <c:pt idx="12">
                  <c:v>0.12644368708461742</c:v>
                </c:pt>
                <c:pt idx="13">
                  <c:v>0.13698066100833556</c:v>
                </c:pt>
                <c:pt idx="14">
                  <c:v>0.14751763493205369</c:v>
                </c:pt>
                <c:pt idx="15">
                  <c:v>0.15805460885577177</c:v>
                </c:pt>
                <c:pt idx="16">
                  <c:v>0.16859158277948988</c:v>
                </c:pt>
                <c:pt idx="17">
                  <c:v>0.17912855670320801</c:v>
                </c:pt>
                <c:pt idx="18">
                  <c:v>0.18966553062692612</c:v>
                </c:pt>
                <c:pt idx="19">
                  <c:v>0.20020250455064423</c:v>
                </c:pt>
                <c:pt idx="20">
                  <c:v>0.21073947847436234</c:v>
                </c:pt>
                <c:pt idx="21">
                  <c:v>0.22127645239808044</c:v>
                </c:pt>
                <c:pt idx="22">
                  <c:v>0.23181342632179858</c:v>
                </c:pt>
              </c:numCache>
            </c:numRef>
          </c:xVal>
          <c:yVal>
            <c:numRef>
              <c:f>Sheet1!$C$25:$C$47</c:f>
              <c:numCache>
                <c:formatCode>0.00%</c:formatCode>
                <c:ptCount val="23"/>
                <c:pt idx="0">
                  <c:v>0.08</c:v>
                </c:pt>
                <c:pt idx="1">
                  <c:v>8.4805000000000005E-2</c:v>
                </c:pt>
                <c:pt idx="2">
                  <c:v>8.9610000000000009E-2</c:v>
                </c:pt>
                <c:pt idx="3">
                  <c:v>9.4415000000000013E-2</c:v>
                </c:pt>
                <c:pt idx="4">
                  <c:v>9.922000000000003E-2</c:v>
                </c:pt>
                <c:pt idx="5">
                  <c:v>0.10402500000000003</c:v>
                </c:pt>
                <c:pt idx="6">
                  <c:v>0.10883000000000004</c:v>
                </c:pt>
                <c:pt idx="7">
                  <c:v>0.11363500000000004</c:v>
                </c:pt>
                <c:pt idx="8">
                  <c:v>0.11844000000000005</c:v>
                </c:pt>
                <c:pt idx="9">
                  <c:v>0.12324500000000005</c:v>
                </c:pt>
                <c:pt idx="10">
                  <c:v>0.12805000000000005</c:v>
                </c:pt>
                <c:pt idx="11">
                  <c:v>0.13285500000000003</c:v>
                </c:pt>
                <c:pt idx="12">
                  <c:v>0.13766000000000003</c:v>
                </c:pt>
                <c:pt idx="13">
                  <c:v>0.14246500000000004</c:v>
                </c:pt>
                <c:pt idx="14">
                  <c:v>0.14727000000000004</c:v>
                </c:pt>
                <c:pt idx="15">
                  <c:v>0.15207500000000002</c:v>
                </c:pt>
                <c:pt idx="16">
                  <c:v>0.15688000000000005</c:v>
                </c:pt>
                <c:pt idx="17">
                  <c:v>0.16168500000000005</c:v>
                </c:pt>
                <c:pt idx="18">
                  <c:v>0.16649000000000005</c:v>
                </c:pt>
                <c:pt idx="19">
                  <c:v>0.17129500000000003</c:v>
                </c:pt>
                <c:pt idx="20">
                  <c:v>0.17610000000000001</c:v>
                </c:pt>
                <c:pt idx="21">
                  <c:v>0.18090500000000001</c:v>
                </c:pt>
                <c:pt idx="22">
                  <c:v>0.18571000000000001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773568"/>
        <c:axId val="195791488"/>
      </c:scatterChart>
      <c:valAx>
        <c:axId val="195773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Risk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195791488"/>
        <c:crosses val="autoZero"/>
        <c:crossBetween val="midCat"/>
      </c:valAx>
      <c:valAx>
        <c:axId val="19579148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expected Return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195773568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0.57372</cdr:x>
      <cdr:y>0.25598</cdr:y>
    </cdr:from>
    <cdr:to>
      <cdr:x>0.63301</cdr:x>
      <cdr:y>0.29215</cdr:y>
    </cdr:to>
    <cdr:cxnSp macro="">
      <cdr:nvCxnSpPr>
        <cdr:cNvPr id="4" name="Straight Arrow Connector 3"/>
        <cdr:cNvCxnSpPr/>
      </cdr:nvCxnSpPr>
      <cdr:spPr>
        <a:xfrm xmlns:a="http://schemas.openxmlformats.org/drawingml/2006/main">
          <a:off x="3409950" y="876300"/>
          <a:ext cx="352425" cy="1238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0.6361</cdr:x>
      <cdr:y>0.26617</cdr:y>
    </cdr:from>
    <cdr:to>
      <cdr:x>0.89542</cdr:x>
      <cdr:y>0.33333</cdr:y>
    </cdr:to>
    <cdr:sp macro="" textlink="">
      <cdr:nvSpPr>
        <cdr:cNvPr id="6" name="Rounded Rectangle 5"/>
        <cdr:cNvSpPr/>
      </cdr:nvSpPr>
      <cdr:spPr>
        <a:xfrm xmlns:a="http://schemas.openxmlformats.org/drawingml/2006/main">
          <a:off x="4229101" y="1019175"/>
          <a:ext cx="1724025" cy="25717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optimal</a:t>
          </a:r>
          <a:r>
            <a:rPr lang="en-US" baseline="0"/>
            <a:t> </a:t>
          </a:r>
          <a:r>
            <a:rPr lang="en-US"/>
            <a:t>portfolio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844-51B9-4459-8F54-8DADD310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2019-05-15T04:26:00Z</dcterms:created>
  <dcterms:modified xsi:type="dcterms:W3CDTF">2019-05-15T19:08:00Z</dcterms:modified>
</cp:coreProperties>
</file>