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2E66" w14:textId="77777777" w:rsidR="00CF4875" w:rsidRDefault="00CF4875">
      <w:pPr>
        <w:rPr>
          <w:rFonts w:ascii="Times" w:hAnsi="Times" w:cs="Times"/>
          <w:sz w:val="24"/>
          <w:szCs w:val="24"/>
        </w:rPr>
      </w:pPr>
    </w:p>
    <w:p w14:paraId="650DDF8F" w14:textId="77777777" w:rsidR="003B380B" w:rsidRPr="00CF4875" w:rsidRDefault="003B380B">
      <w:pPr>
        <w:rPr>
          <w:rFonts w:ascii="Times" w:hAnsi="Times" w:cs="Times"/>
          <w:sz w:val="24"/>
          <w:szCs w:val="24"/>
        </w:rPr>
      </w:pPr>
    </w:p>
    <w:p w14:paraId="60466F5A" w14:textId="77777777" w:rsidR="00CF4875" w:rsidRDefault="00CF4875" w:rsidP="00CF4875">
      <w:pPr>
        <w:jc w:val="center"/>
        <w:rPr>
          <w:rFonts w:ascii="Times" w:hAnsi="Times" w:cs="Times"/>
          <w:sz w:val="24"/>
          <w:szCs w:val="24"/>
        </w:rPr>
      </w:pPr>
    </w:p>
    <w:p w14:paraId="092AB9F3" w14:textId="77777777" w:rsidR="00CF4875" w:rsidRDefault="00CF4875" w:rsidP="00CF4875">
      <w:pPr>
        <w:jc w:val="center"/>
        <w:rPr>
          <w:rFonts w:ascii="Times" w:hAnsi="Times" w:cs="Times"/>
          <w:sz w:val="24"/>
          <w:szCs w:val="24"/>
        </w:rPr>
      </w:pPr>
    </w:p>
    <w:p w14:paraId="472C421E" w14:textId="77777777" w:rsidR="00CF4875" w:rsidRDefault="00CF4875" w:rsidP="00CF4875">
      <w:pPr>
        <w:jc w:val="center"/>
        <w:rPr>
          <w:rFonts w:ascii="Times" w:hAnsi="Times" w:cs="Times"/>
          <w:sz w:val="24"/>
          <w:szCs w:val="24"/>
        </w:rPr>
      </w:pPr>
    </w:p>
    <w:p w14:paraId="07F16480" w14:textId="77777777" w:rsidR="00CF4875" w:rsidRDefault="00CF4875" w:rsidP="00CF4875">
      <w:pPr>
        <w:jc w:val="center"/>
        <w:rPr>
          <w:rFonts w:ascii="Times" w:hAnsi="Times" w:cs="Times"/>
          <w:sz w:val="24"/>
          <w:szCs w:val="24"/>
        </w:rPr>
      </w:pPr>
    </w:p>
    <w:p w14:paraId="52A92FAE" w14:textId="77777777" w:rsidR="00FA0049" w:rsidRDefault="00DA6353" w:rsidP="00CF4875">
      <w:pPr>
        <w:spacing w:after="0"/>
        <w:jc w:val="center"/>
        <w:rPr>
          <w:rFonts w:ascii="Times" w:hAnsi="Times" w:cs="Times"/>
          <w:sz w:val="24"/>
          <w:szCs w:val="24"/>
        </w:rPr>
      </w:pPr>
      <w:r w:rsidRPr="00EF3797">
        <w:rPr>
          <w:rFonts w:ascii="Times" w:hAnsi="Times" w:cs="Times"/>
          <w:sz w:val="24"/>
          <w:szCs w:val="24"/>
        </w:rPr>
        <w:t>History Formal Essay</w:t>
      </w:r>
      <w:r>
        <w:rPr>
          <w:rFonts w:ascii="Times" w:hAnsi="Times" w:cs="Times"/>
          <w:sz w:val="24"/>
          <w:szCs w:val="24"/>
        </w:rPr>
        <w:t xml:space="preserve">: </w:t>
      </w:r>
    </w:p>
    <w:p w14:paraId="3F97145B" w14:textId="77777777" w:rsidR="00CF4875" w:rsidRPr="00CF4875" w:rsidRDefault="00DA6353" w:rsidP="00CF4875">
      <w:pPr>
        <w:spacing w:after="0"/>
        <w:jc w:val="center"/>
        <w:rPr>
          <w:rFonts w:ascii="Times" w:hAnsi="Times" w:cs="Times"/>
          <w:sz w:val="24"/>
          <w:szCs w:val="24"/>
        </w:rPr>
      </w:pPr>
      <w:r>
        <w:rPr>
          <w:rFonts w:ascii="Times" w:hAnsi="Times" w:cs="Times"/>
          <w:sz w:val="24"/>
          <w:szCs w:val="24"/>
        </w:rPr>
        <w:t>Compare and Contrast World War I and World War II</w:t>
      </w:r>
    </w:p>
    <w:p w14:paraId="21F4C159" w14:textId="77777777" w:rsidR="00CF4875" w:rsidRPr="00CF4875" w:rsidRDefault="00CF4875" w:rsidP="00CF4875">
      <w:pPr>
        <w:jc w:val="center"/>
        <w:rPr>
          <w:rFonts w:ascii="Times" w:hAnsi="Times" w:cs="Times"/>
          <w:sz w:val="24"/>
          <w:szCs w:val="24"/>
        </w:rPr>
      </w:pPr>
    </w:p>
    <w:p w14:paraId="45AA4873" w14:textId="77777777" w:rsidR="00CF4875" w:rsidRDefault="00CF4875" w:rsidP="00CF4875">
      <w:pPr>
        <w:jc w:val="center"/>
        <w:rPr>
          <w:rFonts w:ascii="Times" w:hAnsi="Times" w:cs="Times"/>
          <w:sz w:val="24"/>
          <w:szCs w:val="24"/>
        </w:rPr>
      </w:pPr>
    </w:p>
    <w:p w14:paraId="30AA4ACE" w14:textId="77777777" w:rsidR="00CF4875" w:rsidRDefault="00CF4875" w:rsidP="00CF4875">
      <w:pPr>
        <w:jc w:val="center"/>
        <w:rPr>
          <w:rFonts w:ascii="Times" w:hAnsi="Times" w:cs="Times"/>
          <w:sz w:val="24"/>
          <w:szCs w:val="24"/>
        </w:rPr>
      </w:pPr>
    </w:p>
    <w:p w14:paraId="10049150" w14:textId="77777777" w:rsidR="00EF3797" w:rsidRDefault="00DA6353" w:rsidP="00CF4875">
      <w:pPr>
        <w:spacing w:after="0"/>
        <w:jc w:val="center"/>
        <w:rPr>
          <w:rFonts w:ascii="Times" w:hAnsi="Times" w:cs="Times"/>
          <w:sz w:val="24"/>
          <w:szCs w:val="24"/>
        </w:rPr>
      </w:pPr>
      <w:r w:rsidRPr="00EF3797">
        <w:rPr>
          <w:rFonts w:ascii="Times" w:hAnsi="Times" w:cs="Times"/>
          <w:sz w:val="24"/>
          <w:szCs w:val="24"/>
        </w:rPr>
        <w:t xml:space="preserve">Christina </w:t>
      </w:r>
    </w:p>
    <w:p w14:paraId="1A4760B0" w14:textId="77777777" w:rsidR="00CF4875" w:rsidRPr="00CF4875" w:rsidRDefault="00CF4875" w:rsidP="00EF3797">
      <w:pPr>
        <w:spacing w:after="0"/>
        <w:rPr>
          <w:rFonts w:ascii="Times" w:hAnsi="Times" w:cs="Times"/>
          <w:sz w:val="24"/>
          <w:szCs w:val="24"/>
        </w:rPr>
      </w:pPr>
    </w:p>
    <w:p w14:paraId="3F550360" w14:textId="77777777" w:rsidR="00CF4875" w:rsidRPr="00CF4875" w:rsidRDefault="00CF4875" w:rsidP="00CF4875">
      <w:pPr>
        <w:jc w:val="center"/>
        <w:rPr>
          <w:rFonts w:ascii="Times" w:hAnsi="Times" w:cs="Times"/>
          <w:sz w:val="24"/>
          <w:szCs w:val="24"/>
        </w:rPr>
      </w:pPr>
    </w:p>
    <w:p w14:paraId="3B6F3FA2" w14:textId="77777777" w:rsidR="00CF4875" w:rsidRDefault="00CF4875" w:rsidP="00CF4875">
      <w:pPr>
        <w:jc w:val="center"/>
        <w:rPr>
          <w:rFonts w:ascii="Times" w:hAnsi="Times" w:cs="Times"/>
          <w:sz w:val="24"/>
          <w:szCs w:val="24"/>
        </w:rPr>
      </w:pPr>
    </w:p>
    <w:p w14:paraId="35E907D0" w14:textId="77777777" w:rsidR="00CF4875" w:rsidRDefault="00CF4875" w:rsidP="00CF4875">
      <w:pPr>
        <w:jc w:val="center"/>
        <w:rPr>
          <w:rFonts w:ascii="Times" w:hAnsi="Times" w:cs="Times"/>
          <w:sz w:val="24"/>
          <w:szCs w:val="24"/>
        </w:rPr>
      </w:pPr>
    </w:p>
    <w:p w14:paraId="47DD87DC" w14:textId="77777777" w:rsidR="00CF4875" w:rsidRDefault="00CF4875" w:rsidP="00CF4875">
      <w:pPr>
        <w:jc w:val="center"/>
        <w:rPr>
          <w:rFonts w:ascii="Times" w:hAnsi="Times" w:cs="Times"/>
          <w:sz w:val="24"/>
          <w:szCs w:val="24"/>
        </w:rPr>
      </w:pPr>
    </w:p>
    <w:p w14:paraId="18B1DFD6" w14:textId="77777777" w:rsidR="00CF4875" w:rsidRDefault="00CF4875" w:rsidP="00CF4875">
      <w:pPr>
        <w:jc w:val="center"/>
        <w:rPr>
          <w:rFonts w:ascii="Times" w:hAnsi="Times" w:cs="Times"/>
          <w:sz w:val="24"/>
          <w:szCs w:val="24"/>
        </w:rPr>
      </w:pPr>
    </w:p>
    <w:p w14:paraId="7AE4D135" w14:textId="77777777" w:rsidR="00CF4875" w:rsidRDefault="00CF4875" w:rsidP="00CF4875">
      <w:pPr>
        <w:jc w:val="center"/>
        <w:rPr>
          <w:rFonts w:ascii="Times" w:hAnsi="Times" w:cs="Times"/>
          <w:sz w:val="24"/>
          <w:szCs w:val="24"/>
        </w:rPr>
      </w:pPr>
    </w:p>
    <w:p w14:paraId="373ACE7F" w14:textId="77777777" w:rsidR="00CF4875" w:rsidRPr="00CF4875" w:rsidRDefault="00DA6353" w:rsidP="00CF4875">
      <w:pPr>
        <w:jc w:val="center"/>
        <w:rPr>
          <w:rFonts w:ascii="Times" w:hAnsi="Times" w:cs="Times"/>
          <w:sz w:val="24"/>
          <w:szCs w:val="24"/>
        </w:rPr>
      </w:pPr>
      <w:r>
        <w:rPr>
          <w:rFonts w:ascii="Times" w:hAnsi="Times" w:cs="Times"/>
          <w:sz w:val="24"/>
          <w:szCs w:val="24"/>
        </w:rPr>
        <w:t>Course</w:t>
      </w:r>
    </w:p>
    <w:p w14:paraId="6610BBDF" w14:textId="77777777" w:rsidR="00CF4875" w:rsidRPr="00CF4875" w:rsidRDefault="00DA6353" w:rsidP="00CF4875">
      <w:pPr>
        <w:jc w:val="center"/>
        <w:rPr>
          <w:rFonts w:ascii="Times" w:hAnsi="Times" w:cs="Times"/>
          <w:sz w:val="24"/>
          <w:szCs w:val="24"/>
        </w:rPr>
      </w:pPr>
      <w:r>
        <w:rPr>
          <w:rFonts w:ascii="Times" w:hAnsi="Times" w:cs="Times"/>
          <w:sz w:val="24"/>
          <w:szCs w:val="24"/>
        </w:rPr>
        <w:t>Professor</w:t>
      </w:r>
    </w:p>
    <w:p w14:paraId="2B043CC5" w14:textId="77777777" w:rsidR="00CF4875" w:rsidRPr="00CF4875" w:rsidRDefault="00DA6353" w:rsidP="00CF4875">
      <w:pPr>
        <w:spacing w:after="0"/>
        <w:jc w:val="center"/>
        <w:rPr>
          <w:rFonts w:ascii="Times" w:hAnsi="Times" w:cs="Times"/>
          <w:sz w:val="24"/>
          <w:szCs w:val="24"/>
        </w:rPr>
      </w:pPr>
      <w:r>
        <w:rPr>
          <w:rFonts w:ascii="Times" w:hAnsi="Times" w:cs="Times"/>
          <w:sz w:val="24"/>
          <w:szCs w:val="24"/>
        </w:rPr>
        <w:t>16 January 2019</w:t>
      </w:r>
    </w:p>
    <w:p w14:paraId="5C9C147A" w14:textId="77777777" w:rsidR="00CF4875" w:rsidRDefault="00CF4875" w:rsidP="00CF4875">
      <w:pPr>
        <w:spacing w:after="0"/>
        <w:jc w:val="center"/>
        <w:rPr>
          <w:rFonts w:ascii="Times" w:hAnsi="Times" w:cs="Times"/>
          <w:sz w:val="24"/>
          <w:szCs w:val="24"/>
        </w:rPr>
      </w:pPr>
    </w:p>
    <w:p w14:paraId="6ACA6E06" w14:textId="77777777" w:rsidR="00CF4875" w:rsidRPr="00CF4875" w:rsidRDefault="00CF4875" w:rsidP="00CF4875">
      <w:pPr>
        <w:spacing w:after="0"/>
        <w:jc w:val="center"/>
        <w:rPr>
          <w:rFonts w:ascii="Times" w:hAnsi="Times" w:cs="Times"/>
          <w:sz w:val="24"/>
          <w:szCs w:val="24"/>
        </w:rPr>
      </w:pPr>
    </w:p>
    <w:p w14:paraId="72EBD6FC" w14:textId="77777777" w:rsidR="003B380B" w:rsidRDefault="003B380B" w:rsidP="00CF4875">
      <w:pPr>
        <w:jc w:val="center"/>
        <w:rPr>
          <w:rFonts w:ascii="Times" w:hAnsi="Times" w:cs="Times"/>
          <w:sz w:val="24"/>
          <w:szCs w:val="24"/>
        </w:rPr>
      </w:pPr>
    </w:p>
    <w:p w14:paraId="5CA376A9" w14:textId="77777777" w:rsidR="00A21021" w:rsidRDefault="00DA6353" w:rsidP="00B977FA">
      <w:pPr>
        <w:spacing w:after="0" w:line="480" w:lineRule="auto"/>
        <w:ind w:firstLine="720"/>
        <w:rPr>
          <w:rFonts w:ascii="Times" w:hAnsi="Times" w:cs="Times"/>
          <w:sz w:val="24"/>
          <w:szCs w:val="24"/>
        </w:rPr>
      </w:pPr>
      <w:r>
        <w:rPr>
          <w:rFonts w:ascii="Times" w:hAnsi="Times" w:cs="Times"/>
          <w:sz w:val="24"/>
          <w:szCs w:val="24"/>
        </w:rPr>
        <w:br w:type="page"/>
      </w:r>
    </w:p>
    <w:p w14:paraId="060C07A4" w14:textId="46031252" w:rsidR="00F225DC" w:rsidRDefault="00DA6353" w:rsidP="001121CD">
      <w:pPr>
        <w:spacing w:after="0" w:line="480" w:lineRule="auto"/>
        <w:ind w:firstLine="720"/>
        <w:rPr>
          <w:rFonts w:ascii="Times New Roman" w:hAnsi="Times New Roman"/>
          <w:color w:val="000000" w:themeColor="text1"/>
          <w:sz w:val="24"/>
          <w:szCs w:val="24"/>
        </w:rPr>
      </w:pPr>
      <w:bookmarkStart w:id="0" w:name="_GoBack"/>
      <w:r>
        <w:rPr>
          <w:rFonts w:ascii="Times New Roman" w:hAnsi="Times New Roman"/>
          <w:color w:val="000000" w:themeColor="text1"/>
          <w:sz w:val="24"/>
          <w:szCs w:val="24"/>
        </w:rPr>
        <w:lastRenderedPageBreak/>
        <w:t xml:space="preserve">Warfare has remained a part of human societies and civilizations since time immemorial. Human cultures have </w:t>
      </w:r>
      <w:r w:rsidR="001121CD">
        <w:rPr>
          <w:rFonts w:ascii="Times New Roman" w:hAnsi="Times New Roman"/>
          <w:color w:val="000000" w:themeColor="text1"/>
          <w:sz w:val="24"/>
          <w:szCs w:val="24"/>
        </w:rPr>
        <w:t>undergone</w:t>
      </w:r>
      <w:r>
        <w:rPr>
          <w:rFonts w:ascii="Times New Roman" w:hAnsi="Times New Roman"/>
          <w:color w:val="000000" w:themeColor="text1"/>
          <w:sz w:val="24"/>
          <w:szCs w:val="24"/>
        </w:rPr>
        <w:t xml:space="preserve"> dramatic changes as a result of both internal and external wars </w:t>
      </w:r>
      <w:r w:rsidR="006D5C70">
        <w:rPr>
          <w:rFonts w:ascii="Times New Roman" w:hAnsi="Times New Roman"/>
          <w:color w:val="000000" w:themeColor="text1"/>
          <w:sz w:val="24"/>
          <w:szCs w:val="24"/>
        </w:rPr>
        <w:t xml:space="preserve">that led to their independence, expansion or development. </w:t>
      </w:r>
      <w:r w:rsidR="005D7CA7">
        <w:rPr>
          <w:rFonts w:ascii="Times New Roman" w:hAnsi="Times New Roman"/>
          <w:color w:val="000000" w:themeColor="text1"/>
          <w:sz w:val="24"/>
          <w:szCs w:val="24"/>
        </w:rPr>
        <w:t xml:space="preserve">However, in modern human history, no wars have been as brutal and </w:t>
      </w:r>
      <w:r w:rsidR="00325C8C">
        <w:rPr>
          <w:rFonts w:ascii="Times New Roman" w:hAnsi="Times New Roman"/>
          <w:color w:val="000000" w:themeColor="text1"/>
          <w:sz w:val="24"/>
          <w:szCs w:val="24"/>
        </w:rPr>
        <w:t>ruthless as the two World Wars</w:t>
      </w:r>
      <w:r>
        <w:rPr>
          <w:rFonts w:ascii="Times New Roman" w:hAnsi="Times New Roman"/>
          <w:color w:val="000000" w:themeColor="text1"/>
          <w:sz w:val="24"/>
          <w:szCs w:val="24"/>
        </w:rPr>
        <w:t xml:space="preserve"> which left nearly the entire world devastated. </w:t>
      </w:r>
      <w:r w:rsidR="001121CD">
        <w:rPr>
          <w:rFonts w:ascii="Times New Roman" w:hAnsi="Times New Roman"/>
          <w:color w:val="000000" w:themeColor="text1"/>
          <w:sz w:val="24"/>
          <w:szCs w:val="24"/>
        </w:rPr>
        <w:t>Those who had lived through both wars saw a number of similarities, yet the two wars still differ considerably, especially in terms of their aftermath and causes. The essay compares and contrasts the two World Wars in terms of their causes, after-effects and overall impact on each side of the conflict</w:t>
      </w:r>
      <w:r w:rsidR="008F0DDD">
        <w:rPr>
          <w:rFonts w:ascii="Times New Roman" w:hAnsi="Times New Roman"/>
          <w:color w:val="000000" w:themeColor="text1"/>
          <w:sz w:val="24"/>
          <w:szCs w:val="24"/>
        </w:rPr>
        <w:t>.</w:t>
      </w:r>
    </w:p>
    <w:p w14:paraId="06069808" w14:textId="24D29FA0" w:rsidR="008F0DDD" w:rsidRDefault="00DA6353" w:rsidP="00DD36B5">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causes that triggered both the wars were fairly different. World War I </w:t>
      </w:r>
      <w:r w:rsidR="00DD36B5">
        <w:rPr>
          <w:rFonts w:ascii="Times New Roman" w:hAnsi="Times New Roman"/>
          <w:color w:val="000000" w:themeColor="text1"/>
          <w:sz w:val="24"/>
          <w:szCs w:val="24"/>
        </w:rPr>
        <w:t>emerged from an assassination event in June of 1914 when France Ferdinand, the Archduke of Austria was murdered. In contrast, the second World War emerged from the aftermath of the first that had created political and economic instability; the Treaty of Versailles that was born out of World War 1 served as a leading cause. Resentment in Germany as a result of the treaty’s terms</w:t>
      </w:r>
      <w:r w:rsidR="00D65C34">
        <w:rPr>
          <w:rFonts w:ascii="Times New Roman" w:hAnsi="Times New Roman"/>
          <w:color w:val="000000" w:themeColor="text1"/>
          <w:sz w:val="24"/>
          <w:szCs w:val="24"/>
        </w:rPr>
        <w:t xml:space="preserve"> became a critical factor that coupled with ideological clashes, such as between Fascism and Communism, characterized the second World War. </w:t>
      </w:r>
    </w:p>
    <w:p w14:paraId="5A24D03B" w14:textId="622A8B15" w:rsidR="0080397C" w:rsidRPr="0039699E" w:rsidRDefault="00DA6353" w:rsidP="003B0B48">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Although both wars were known for the devastation and utter destruction they</w:t>
      </w:r>
      <w:r>
        <w:rPr>
          <w:rFonts w:ascii="Times" w:hAnsi="Times" w:cs="Times"/>
          <w:color w:val="000000" w:themeColor="text1"/>
          <w:sz w:val="24"/>
          <w:szCs w:val="24"/>
        </w:rPr>
        <w:t xml:space="preserve"> brought, World War 2 led to the deaths of nearly 60 million people, </w:t>
      </w:r>
      <w:r w:rsidRPr="0039699E">
        <w:rPr>
          <w:rFonts w:ascii="Times" w:hAnsi="Times" w:cs="Times"/>
          <w:color w:val="000000" w:themeColor="text1"/>
          <w:sz w:val="24"/>
          <w:szCs w:val="24"/>
        </w:rPr>
        <w:t>almost 33 million higher casualties than World War 1. Nearly 38-55 million deaths were civilian casualties from direct and indirect causes associated with the war. The first World War led</w:t>
      </w:r>
      <w:r w:rsidRPr="0039699E">
        <w:rPr>
          <w:rFonts w:ascii="Times" w:hAnsi="Times" w:cs="Times"/>
          <w:color w:val="000000" w:themeColor="text1"/>
          <w:sz w:val="24"/>
          <w:szCs w:val="24"/>
        </w:rPr>
        <w:t xml:space="preserve"> to 10 million military, and 7 million civilian casualties, with another 21 million people wounded</w:t>
      </w:r>
      <w:r>
        <w:rPr>
          <w:rStyle w:val="FootnoteReference"/>
          <w:rFonts w:ascii="Times" w:hAnsi="Times" w:cs="Times"/>
          <w:color w:val="000000" w:themeColor="text1"/>
          <w:sz w:val="24"/>
          <w:szCs w:val="24"/>
        </w:rPr>
        <w:footnoteReference w:id="1"/>
      </w:r>
      <w:r w:rsidRPr="0039699E">
        <w:rPr>
          <w:rFonts w:ascii="Times" w:hAnsi="Times" w:cs="Times"/>
          <w:color w:val="000000" w:themeColor="text1"/>
          <w:sz w:val="24"/>
          <w:szCs w:val="24"/>
        </w:rPr>
        <w:t xml:space="preserve">. </w:t>
      </w:r>
      <w:r>
        <w:rPr>
          <w:rFonts w:ascii="Times" w:hAnsi="Times" w:cs="Times"/>
          <w:color w:val="000000" w:themeColor="text1"/>
          <w:sz w:val="24"/>
          <w:szCs w:val="24"/>
        </w:rPr>
        <w:t xml:space="preserve">A primary reason for the difference was the advanced machinery and technology used in the Second World War compared to the </w:t>
      </w:r>
      <w:r>
        <w:rPr>
          <w:rFonts w:ascii="Times" w:hAnsi="Times" w:cs="Times"/>
          <w:color w:val="000000" w:themeColor="text1"/>
          <w:sz w:val="24"/>
          <w:szCs w:val="24"/>
        </w:rPr>
        <w:lastRenderedPageBreak/>
        <w:t>first which was fought with mach</w:t>
      </w:r>
      <w:r>
        <w:rPr>
          <w:rFonts w:ascii="Times" w:hAnsi="Times" w:cs="Times"/>
          <w:color w:val="000000" w:themeColor="text1"/>
          <w:sz w:val="24"/>
          <w:szCs w:val="24"/>
        </w:rPr>
        <w:t>ine guns, flamethrowers, and tanks, for the first time. The attacks that ended World War 2, however, surpassed from anything mankind had cr</w:t>
      </w:r>
      <w:r w:rsidRPr="0002733A">
        <w:rPr>
          <w:rFonts w:ascii="Times" w:hAnsi="Times" w:cs="Times"/>
          <w:color w:val="000000" w:themeColor="text1"/>
          <w:sz w:val="24"/>
          <w:szCs w:val="24"/>
        </w:rPr>
        <w:t xml:space="preserve">eated </w:t>
      </w:r>
      <w:r w:rsidR="00BC71DF" w:rsidRPr="0002733A">
        <w:rPr>
          <w:rFonts w:ascii="Times" w:hAnsi="Times" w:cs="Times"/>
          <w:color w:val="000000" w:themeColor="text1"/>
          <w:sz w:val="24"/>
          <w:szCs w:val="24"/>
        </w:rPr>
        <w:t>in terms of destruction</w:t>
      </w:r>
      <w:r w:rsidR="0002733A" w:rsidRPr="0002733A">
        <w:rPr>
          <w:rFonts w:ascii="Times" w:hAnsi="Times" w:cs="Times"/>
          <w:color w:val="000000" w:themeColor="text1"/>
          <w:sz w:val="24"/>
          <w:szCs w:val="24"/>
        </w:rPr>
        <w:t>; the atomic bombing of Nagasaki and Hiroshima</w:t>
      </w:r>
      <w:r>
        <w:rPr>
          <w:rStyle w:val="FootnoteReference"/>
          <w:rFonts w:ascii="Times" w:hAnsi="Times" w:cs="Times"/>
          <w:color w:val="000000" w:themeColor="text1"/>
          <w:sz w:val="24"/>
          <w:szCs w:val="24"/>
        </w:rPr>
        <w:footnoteReference w:id="2"/>
      </w:r>
      <w:r w:rsidR="00A05F53">
        <w:rPr>
          <w:rFonts w:ascii="Times" w:hAnsi="Times" w:cs="Times"/>
          <w:color w:val="000000" w:themeColor="text1"/>
          <w:sz w:val="24"/>
          <w:szCs w:val="24"/>
        </w:rPr>
        <w:t>.</w:t>
      </w:r>
    </w:p>
    <w:p w14:paraId="5FCDDC74" w14:textId="030C22BE" w:rsidR="0002733A" w:rsidRPr="0002733A" w:rsidRDefault="00DA6353" w:rsidP="008E04C8">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 xml:space="preserve">One way in which the two </w:t>
      </w:r>
      <w:r w:rsidR="008E04C8">
        <w:rPr>
          <w:rFonts w:ascii="Times" w:hAnsi="Times" w:cs="Times"/>
          <w:color w:val="000000" w:themeColor="text1"/>
          <w:sz w:val="24"/>
          <w:szCs w:val="24"/>
        </w:rPr>
        <w:t xml:space="preserve">wars were similar was how both involved civilian participation in unprecedented ways. The warring sides in both wars would not distinguish between the citizens or the military of an opposing nation. Everyone and anyone could be a target. World War 2, in particular, saw bombing other nations from the air as a vital tactic of war regardless of whether the targets were women or children. A general disregard for life was common despite the fact that all parties to World War 2 had already experienced the devastation that a global war could bring. In terms of mobility of resources, weapons, and military, extensive use of artillery and machine guns along with poisonous gas was seen, but the mobility of these weapons remained limited. In contrast, World War 2 saw the use of aerial bombings, missile attacks, and nuclear power. Furthermore, both wars saw military tactics supplemented by the use of propaganda against the enemy to undermine their image and support war efforts in home countries. It would not only be used to keep the spirits high and </w:t>
      </w:r>
      <w:r w:rsidR="00866C0E">
        <w:rPr>
          <w:rFonts w:ascii="Times" w:hAnsi="Times" w:cs="Times"/>
          <w:color w:val="000000" w:themeColor="text1"/>
          <w:sz w:val="24"/>
          <w:szCs w:val="24"/>
        </w:rPr>
        <w:t xml:space="preserve">create public cohesion but to confuse the opposing nation. Although each side to the conflict suffered casualties, propaganda helped muster public support for the war and helped divert public anger towards the adversary. </w:t>
      </w:r>
    </w:p>
    <w:p w14:paraId="1DFA214B" w14:textId="048CFEF0" w:rsidR="009E2397" w:rsidRDefault="00DA6353" w:rsidP="003B0B48">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The t</w:t>
      </w:r>
      <w:r>
        <w:rPr>
          <w:rFonts w:ascii="Times" w:hAnsi="Times" w:cs="Times"/>
          <w:color w:val="000000" w:themeColor="text1"/>
          <w:sz w:val="24"/>
          <w:szCs w:val="24"/>
        </w:rPr>
        <w:t xml:space="preserve">wo World Wars differed in terms of outcomes. World War 1 ended with the formation of the League of Nations which was a joint organization intended to serve as a peace-building </w:t>
      </w:r>
      <w:r w:rsidR="001E3B2F">
        <w:rPr>
          <w:rFonts w:ascii="Times" w:hAnsi="Times" w:cs="Times"/>
          <w:color w:val="000000" w:themeColor="text1"/>
          <w:sz w:val="24"/>
          <w:szCs w:val="24"/>
        </w:rPr>
        <w:t>initiative among different nations. Pre-</w:t>
      </w:r>
      <w:r w:rsidR="001E3B2F" w:rsidRPr="001E3B2F">
        <w:rPr>
          <w:rFonts w:ascii="Times" w:hAnsi="Times" w:cs="Times"/>
          <w:color w:val="000000" w:themeColor="text1"/>
          <w:sz w:val="24"/>
          <w:szCs w:val="24"/>
        </w:rPr>
        <w:t xml:space="preserve">war alliances led to the formation of new </w:t>
      </w:r>
      <w:r w:rsidR="001E3B2F" w:rsidRPr="001E3B2F">
        <w:rPr>
          <w:rFonts w:ascii="Times" w:hAnsi="Times" w:cs="Times"/>
          <w:color w:val="000000" w:themeColor="text1"/>
          <w:sz w:val="24"/>
          <w:szCs w:val="24"/>
        </w:rPr>
        <w:lastRenderedPageBreak/>
        <w:t>countries as more nations joined the League</w:t>
      </w:r>
      <w:r>
        <w:rPr>
          <w:rStyle w:val="FootnoteReference"/>
          <w:rFonts w:ascii="Times" w:hAnsi="Times" w:cs="Times"/>
          <w:color w:val="000000" w:themeColor="text1"/>
          <w:sz w:val="24"/>
          <w:szCs w:val="24"/>
        </w:rPr>
        <w:footnoteReference w:id="3"/>
      </w:r>
      <w:r w:rsidR="00866E21" w:rsidRPr="001E3B2F">
        <w:rPr>
          <w:rFonts w:ascii="Times" w:hAnsi="Times" w:cs="Times"/>
          <w:color w:val="000000" w:themeColor="text1"/>
          <w:sz w:val="24"/>
          <w:szCs w:val="24"/>
        </w:rPr>
        <w:t xml:space="preserve">. </w:t>
      </w:r>
      <w:r w:rsidR="001E3B2F">
        <w:rPr>
          <w:rFonts w:ascii="Times" w:hAnsi="Times" w:cs="Times"/>
          <w:color w:val="000000" w:themeColor="text1"/>
          <w:sz w:val="24"/>
          <w:szCs w:val="24"/>
        </w:rPr>
        <w:t xml:space="preserve">Conversely, World War 2 saw the disintegration of a number of countries that participated in the war along with public executions of people accused of war crimes. Notable empires such as the British, Dutch and the French empires ended with the second World War, just as the Austro-Hungarian and Ottoman Empires had collapsed in first War. A similar aspect to the conflict was </w:t>
      </w:r>
      <w:r w:rsidR="0069078A">
        <w:rPr>
          <w:rFonts w:ascii="Times" w:hAnsi="Times" w:cs="Times"/>
          <w:color w:val="000000" w:themeColor="text1"/>
          <w:sz w:val="24"/>
          <w:szCs w:val="24"/>
        </w:rPr>
        <w:t>the emergence of conflicts between nation-states in which people belonging to different religions and ethnicities would find themselves on the same side in contrast with earlier wars in which one ethnic nation or religion would battle the other for domination.</w:t>
      </w:r>
    </w:p>
    <w:p w14:paraId="1A5DE00C" w14:textId="40C48636" w:rsidR="00866E21" w:rsidRPr="009E2397" w:rsidRDefault="00DA6353" w:rsidP="003B0B48">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The end of World War 1 saw the rise of Adolf Hitler's Nazi Party rise to prominence in the wake of intense German resentment agains</w:t>
      </w:r>
      <w:r>
        <w:rPr>
          <w:rFonts w:ascii="Times" w:hAnsi="Times" w:cs="Times"/>
          <w:color w:val="000000" w:themeColor="text1"/>
          <w:sz w:val="24"/>
          <w:szCs w:val="24"/>
        </w:rPr>
        <w:t>t the terms and conditions, perceived as unfair, in the Treaty of Versailles. Thus, in many ways, the occurrence of the Second World War could be attributed to the first World War. In Contrast, World War 2 ended with newer conflicts emerging between capita</w:t>
      </w:r>
      <w:r>
        <w:rPr>
          <w:rFonts w:ascii="Times" w:hAnsi="Times" w:cs="Times"/>
          <w:color w:val="000000" w:themeColor="text1"/>
          <w:sz w:val="24"/>
          <w:szCs w:val="24"/>
        </w:rPr>
        <w:t xml:space="preserve">lism and communism which soon manifested into a Cold War between the United States and the Soviet </w:t>
      </w:r>
      <w:r w:rsidRPr="009E2397">
        <w:rPr>
          <w:rFonts w:ascii="Times" w:hAnsi="Times" w:cs="Times"/>
          <w:color w:val="000000" w:themeColor="text1"/>
          <w:sz w:val="24"/>
          <w:szCs w:val="24"/>
        </w:rPr>
        <w:t>Union, and would last until 1991. The aftermath of the war was a bi-polar world in which both these powers found themselves locked in a political, military, e</w:t>
      </w:r>
      <w:r w:rsidRPr="009E2397">
        <w:rPr>
          <w:rFonts w:ascii="Times" w:hAnsi="Times" w:cs="Times"/>
          <w:color w:val="000000" w:themeColor="text1"/>
          <w:sz w:val="24"/>
          <w:szCs w:val="24"/>
        </w:rPr>
        <w:t>conomic and cultural competition</w:t>
      </w:r>
      <w:r>
        <w:rPr>
          <w:rFonts w:ascii="Times" w:hAnsi="Times" w:cs="Times"/>
          <w:color w:val="000000" w:themeColor="text1"/>
          <w:sz w:val="24"/>
          <w:szCs w:val="24"/>
        </w:rPr>
        <w:t xml:space="preserve"> to demonstrate superiority</w:t>
      </w:r>
      <w:r>
        <w:rPr>
          <w:rStyle w:val="FootnoteReference"/>
          <w:rFonts w:ascii="Times" w:hAnsi="Times" w:cs="Times"/>
          <w:color w:val="000000" w:themeColor="text1"/>
          <w:sz w:val="24"/>
          <w:szCs w:val="24"/>
        </w:rPr>
        <w:footnoteReference w:id="4"/>
      </w:r>
      <w:r w:rsidRPr="009E2397">
        <w:rPr>
          <w:rFonts w:ascii="Times" w:hAnsi="Times" w:cs="Times"/>
          <w:color w:val="000000" w:themeColor="text1"/>
          <w:sz w:val="24"/>
          <w:szCs w:val="24"/>
        </w:rPr>
        <w:t>.</w:t>
      </w:r>
    </w:p>
    <w:p w14:paraId="3385C323" w14:textId="53842906" w:rsidR="009E2397" w:rsidRDefault="00DA6353" w:rsidP="00A05F53">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In conclusion, the two World Wars impacted modern human history at an unprecedented level. Both of these post-industrial wars saw the immense and industrial-scale mobilization of human, economic</w:t>
      </w:r>
      <w:r>
        <w:rPr>
          <w:rFonts w:ascii="Times" w:hAnsi="Times" w:cs="Times"/>
          <w:color w:val="000000" w:themeColor="text1"/>
          <w:sz w:val="24"/>
          <w:szCs w:val="24"/>
        </w:rPr>
        <w:t xml:space="preserve"> and military resources that involved multiple nations engaging each other. </w:t>
      </w:r>
      <w:r>
        <w:rPr>
          <w:rFonts w:ascii="Times" w:hAnsi="Times" w:cs="Times"/>
          <w:color w:val="000000" w:themeColor="text1"/>
          <w:sz w:val="24"/>
          <w:szCs w:val="24"/>
        </w:rPr>
        <w:lastRenderedPageBreak/>
        <w:t>Germany and its militarism remained central to both wars; however, the aftermath of the two wars was different. Many countries disi</w:t>
      </w:r>
      <w:r w:rsidR="00A05F53">
        <w:rPr>
          <w:rFonts w:ascii="Times" w:hAnsi="Times" w:cs="Times"/>
          <w:color w:val="000000" w:themeColor="text1"/>
          <w:sz w:val="24"/>
          <w:szCs w:val="24"/>
        </w:rPr>
        <w:t>ntegrated after World War 2 and led to conflicts emerging in the new bi-polar world it created.</w:t>
      </w:r>
      <w:bookmarkEnd w:id="0"/>
      <w:r w:rsidR="00A05F53">
        <w:rPr>
          <w:rFonts w:ascii="Times" w:hAnsi="Times" w:cs="Times"/>
          <w:color w:val="000000" w:themeColor="text1"/>
          <w:sz w:val="24"/>
          <w:szCs w:val="24"/>
        </w:rPr>
        <w:t xml:space="preserve"> </w:t>
      </w:r>
    </w:p>
    <w:p w14:paraId="1026A76B" w14:textId="35F17E5A" w:rsidR="00A05F53" w:rsidRDefault="00DA6353">
      <w:pPr>
        <w:spacing w:after="0" w:line="240" w:lineRule="auto"/>
        <w:rPr>
          <w:rFonts w:ascii="Times" w:hAnsi="Times" w:cs="Times"/>
          <w:color w:val="000000" w:themeColor="text1"/>
          <w:sz w:val="24"/>
          <w:szCs w:val="24"/>
        </w:rPr>
      </w:pPr>
      <w:r>
        <w:rPr>
          <w:rFonts w:ascii="Times" w:hAnsi="Times" w:cs="Times"/>
          <w:color w:val="000000" w:themeColor="text1"/>
          <w:sz w:val="24"/>
          <w:szCs w:val="24"/>
        </w:rPr>
        <w:br w:type="page"/>
      </w:r>
    </w:p>
    <w:sdt>
      <w:sdtPr>
        <w:rPr>
          <w:rFonts w:ascii="Calibri" w:eastAsia="Calibri" w:hAnsi="Calibri" w:cs="Times New Roman"/>
          <w:b w:val="0"/>
          <w:bCs w:val="0"/>
          <w:color w:val="auto"/>
          <w:sz w:val="22"/>
          <w:szCs w:val="22"/>
          <w:lang w:bidi="ar-SA"/>
        </w:rPr>
        <w:id w:val="-740636438"/>
        <w:docPartObj>
          <w:docPartGallery w:val="Bibliographies"/>
          <w:docPartUnique/>
        </w:docPartObj>
      </w:sdtPr>
      <w:sdtEndPr/>
      <w:sdtContent>
        <w:p w14:paraId="6549E30F" w14:textId="41FB8A1A" w:rsidR="00A05F53" w:rsidRDefault="00DA6353">
          <w:pPr>
            <w:pStyle w:val="Heading1"/>
            <w:rPr>
              <w:rFonts w:asciiTheme="minorEastAsia" w:hAnsiTheme="minorEastAsia" w:cstheme="minorEastAsia"/>
              <w:color w:val="000000" w:themeColor="text1"/>
              <w:sz w:val="24"/>
              <w:szCs w:val="24"/>
            </w:rPr>
          </w:pPr>
          <w:r w:rsidRPr="00A05F53">
            <w:rPr>
              <w:rFonts w:asciiTheme="minorEastAsia" w:hAnsiTheme="minorEastAsia" w:cstheme="minorEastAsia" w:hint="eastAsia"/>
              <w:color w:val="000000" w:themeColor="text1"/>
              <w:sz w:val="24"/>
              <w:szCs w:val="24"/>
            </w:rPr>
            <w:t>Bibliography</w:t>
          </w:r>
        </w:p>
        <w:p w14:paraId="54456DCE" w14:textId="77777777" w:rsidR="00A05F53" w:rsidRPr="00A05F53" w:rsidRDefault="00A05F53" w:rsidP="00A05F53">
          <w:pPr>
            <w:rPr>
              <w:lang w:bidi="en-US"/>
            </w:rPr>
          </w:pPr>
        </w:p>
        <w:sdt>
          <w:sdtPr>
            <w:rPr>
              <w:rFonts w:asciiTheme="minorEastAsia" w:hAnsiTheme="minorEastAsia" w:cstheme="minorEastAsia" w:hint="eastAsia"/>
              <w:color w:val="000000" w:themeColor="text1"/>
              <w:sz w:val="24"/>
              <w:szCs w:val="24"/>
            </w:rPr>
            <w:id w:val="111145805"/>
            <w:bibliography/>
          </w:sdtPr>
          <w:sdtEndPr>
            <w:rPr>
              <w:rFonts w:ascii="Calibri" w:hAnsi="Calibri" w:cs="Times New Roman" w:hint="default"/>
              <w:color w:val="auto"/>
              <w:sz w:val="22"/>
              <w:szCs w:val="22"/>
            </w:rPr>
          </w:sdtEndPr>
          <w:sdtContent>
            <w:p w14:paraId="301F5298" w14:textId="77777777" w:rsidR="00A05F53" w:rsidRPr="00A05F53" w:rsidRDefault="00DA6353" w:rsidP="00A05F53">
              <w:pPr>
                <w:pStyle w:val="Bibliography"/>
                <w:ind w:left="720" w:hanging="720"/>
                <w:rPr>
                  <w:rFonts w:asciiTheme="minorEastAsia" w:hAnsiTheme="minorEastAsia" w:cstheme="minorEastAsia"/>
                  <w:noProof/>
                  <w:color w:val="000000" w:themeColor="text1"/>
                  <w:sz w:val="24"/>
                  <w:szCs w:val="24"/>
                  <w:lang w:eastAsia="zh-CN"/>
                </w:rPr>
              </w:pPr>
              <w:r w:rsidRPr="00A05F53">
                <w:rPr>
                  <w:rFonts w:asciiTheme="minorEastAsia" w:hAnsiTheme="minorEastAsia" w:cstheme="minorEastAsia" w:hint="eastAsia"/>
                  <w:color w:val="000000" w:themeColor="text1"/>
                  <w:sz w:val="24"/>
                  <w:szCs w:val="24"/>
                </w:rPr>
                <w:fldChar w:fldCharType="begin"/>
              </w:r>
              <w:r w:rsidRPr="00A05F53">
                <w:rPr>
                  <w:rFonts w:asciiTheme="minorEastAsia" w:hAnsiTheme="minorEastAsia" w:cstheme="minorEastAsia" w:hint="eastAsia"/>
                  <w:color w:val="000000" w:themeColor="text1"/>
                  <w:sz w:val="24"/>
                  <w:szCs w:val="24"/>
                </w:rPr>
                <w:instrText xml:space="preserve"> BIBLIOGRAPHY </w:instrText>
              </w:r>
              <w:r w:rsidRPr="00A05F53">
                <w:rPr>
                  <w:rFonts w:asciiTheme="minorEastAsia" w:hAnsiTheme="minorEastAsia" w:cstheme="minorEastAsia" w:hint="eastAsia"/>
                  <w:color w:val="000000" w:themeColor="text1"/>
                  <w:sz w:val="24"/>
                  <w:szCs w:val="24"/>
                </w:rPr>
                <w:fldChar w:fldCharType="separate"/>
              </w:r>
              <w:r w:rsidRPr="00A05F53">
                <w:rPr>
                  <w:rFonts w:asciiTheme="minorEastAsia" w:hAnsiTheme="minorEastAsia" w:cstheme="minorEastAsia" w:hint="eastAsia"/>
                  <w:noProof/>
                  <w:color w:val="000000" w:themeColor="text1"/>
                  <w:sz w:val="24"/>
                  <w:szCs w:val="24"/>
                </w:rPr>
                <w:t xml:space="preserve">Compton, Karl T. 2016. </w:t>
              </w:r>
              <w:r w:rsidRPr="00A05F53">
                <w:rPr>
                  <w:rFonts w:asciiTheme="minorEastAsia" w:hAnsiTheme="minorEastAsia" w:cstheme="minorEastAsia" w:hint="eastAsia"/>
                  <w:i/>
                  <w:iCs/>
                  <w:noProof/>
                  <w:color w:val="000000" w:themeColor="text1"/>
                  <w:sz w:val="24"/>
                  <w:szCs w:val="24"/>
                </w:rPr>
                <w:t>If the Atomic Bomb Had Not Been Used 1946.</w:t>
              </w:r>
              <w:r w:rsidRPr="00A05F53">
                <w:rPr>
                  <w:rFonts w:asciiTheme="minorEastAsia" w:hAnsiTheme="minorEastAsia" w:cstheme="minorEastAsia" w:hint="eastAsia"/>
                  <w:noProof/>
                  <w:color w:val="000000" w:themeColor="text1"/>
                  <w:sz w:val="24"/>
                  <w:szCs w:val="24"/>
                </w:rPr>
                <w:t xml:space="preserve"> Vol. 2, in </w:t>
              </w:r>
              <w:r w:rsidRPr="00A05F53">
                <w:rPr>
                  <w:rFonts w:asciiTheme="minorEastAsia" w:hAnsiTheme="minorEastAsia" w:cstheme="minorEastAsia" w:hint="eastAsia"/>
                  <w:i/>
                  <w:iCs/>
                  <w:noProof/>
                  <w:color w:val="000000" w:themeColor="text1"/>
                  <w:sz w:val="24"/>
                  <w:szCs w:val="24"/>
                </w:rPr>
                <w:t>For the Record: A Documentary History of America</w:t>
              </w:r>
              <w:r w:rsidRPr="00A05F53">
                <w:rPr>
                  <w:rFonts w:asciiTheme="minorEastAsia" w:hAnsiTheme="minorEastAsia" w:cstheme="minorEastAsia" w:hint="eastAsia"/>
                  <w:noProof/>
                  <w:color w:val="000000" w:themeColor="text1"/>
                  <w:sz w:val="24"/>
                  <w:szCs w:val="24"/>
                </w:rPr>
                <w:t>, 290-233. New York, NY: W. W. Norton &amp; Company.</w:t>
              </w:r>
            </w:p>
            <w:p w14:paraId="3CB070AE" w14:textId="77777777" w:rsidR="00A05F53" w:rsidRPr="00A05F53" w:rsidRDefault="00DA6353" w:rsidP="00A05F53">
              <w:pPr>
                <w:pStyle w:val="Bibliography"/>
                <w:ind w:left="720" w:hanging="720"/>
                <w:rPr>
                  <w:rFonts w:asciiTheme="minorEastAsia" w:hAnsiTheme="minorEastAsia" w:cstheme="minorEastAsia"/>
                  <w:noProof/>
                  <w:color w:val="000000" w:themeColor="text1"/>
                  <w:sz w:val="24"/>
                  <w:szCs w:val="24"/>
                </w:rPr>
              </w:pPr>
              <w:r w:rsidRPr="00A05F53">
                <w:rPr>
                  <w:rFonts w:asciiTheme="minorEastAsia" w:hAnsiTheme="minorEastAsia" w:cstheme="minorEastAsia" w:hint="eastAsia"/>
                  <w:noProof/>
                  <w:color w:val="000000" w:themeColor="text1"/>
                  <w:sz w:val="24"/>
                  <w:szCs w:val="24"/>
                </w:rPr>
                <w:t xml:space="preserve">Corbett, P. Scott, Volker Janssen, John M. Lund, Todd Pfannestiel, Paul Vickery, and Sylvie Waskiewicz. 2018. </w:t>
              </w:r>
              <w:r w:rsidRPr="00A05F53">
                <w:rPr>
                  <w:rFonts w:asciiTheme="minorEastAsia" w:hAnsiTheme="minorEastAsia" w:cstheme="minorEastAsia" w:hint="eastAsia"/>
                  <w:i/>
                  <w:iCs/>
                  <w:noProof/>
                  <w:color w:val="000000" w:themeColor="text1"/>
                  <w:sz w:val="24"/>
                  <w:szCs w:val="24"/>
                </w:rPr>
                <w:t>U.S. History.</w:t>
              </w:r>
              <w:r w:rsidRPr="00A05F53">
                <w:rPr>
                  <w:rFonts w:asciiTheme="minorEastAsia" w:hAnsiTheme="minorEastAsia" w:cstheme="minorEastAsia" w:hint="eastAsia"/>
                  <w:noProof/>
                  <w:color w:val="000000" w:themeColor="text1"/>
                  <w:sz w:val="24"/>
                  <w:szCs w:val="24"/>
                </w:rPr>
                <w:t xml:space="preserve"> Rice University: OpenStax CNX, OpenStax College History. http://cnx.org/contents/a7ba2fb8-8925-4987-b182-5f4429d48daa@6.16.</w:t>
              </w:r>
            </w:p>
            <w:p w14:paraId="57DF866C" w14:textId="77777777" w:rsidR="00A05F53" w:rsidRPr="00A05F53" w:rsidRDefault="00DA6353" w:rsidP="00A05F53">
              <w:pPr>
                <w:pStyle w:val="Bibliography"/>
                <w:ind w:left="720" w:hanging="720"/>
                <w:rPr>
                  <w:rFonts w:asciiTheme="minorEastAsia" w:hAnsiTheme="minorEastAsia" w:cstheme="minorEastAsia"/>
                  <w:noProof/>
                  <w:color w:val="000000" w:themeColor="text1"/>
                  <w:sz w:val="24"/>
                  <w:szCs w:val="24"/>
                </w:rPr>
              </w:pPr>
              <w:r w:rsidRPr="00A05F53">
                <w:rPr>
                  <w:rFonts w:asciiTheme="minorEastAsia" w:hAnsiTheme="minorEastAsia" w:cstheme="minorEastAsia" w:hint="eastAsia"/>
                  <w:noProof/>
                  <w:color w:val="000000" w:themeColor="text1"/>
                  <w:sz w:val="24"/>
                  <w:szCs w:val="24"/>
                </w:rPr>
                <w:t xml:space="preserve">Wilson, </w:t>
              </w:r>
              <w:r w:rsidRPr="00A05F53">
                <w:rPr>
                  <w:rFonts w:asciiTheme="minorEastAsia" w:hAnsiTheme="minorEastAsia" w:cstheme="minorEastAsia" w:hint="eastAsia"/>
                  <w:noProof/>
                  <w:color w:val="000000" w:themeColor="text1"/>
                  <w:sz w:val="24"/>
                  <w:szCs w:val="24"/>
                </w:rPr>
                <w:t xml:space="preserve">Woodrow. 1919. </w:t>
              </w:r>
              <w:r w:rsidRPr="00A05F53">
                <w:rPr>
                  <w:rFonts w:asciiTheme="minorEastAsia" w:hAnsiTheme="minorEastAsia" w:cstheme="minorEastAsia" w:hint="eastAsia"/>
                  <w:i/>
                  <w:iCs/>
                  <w:noProof/>
                  <w:color w:val="000000" w:themeColor="text1"/>
                  <w:sz w:val="24"/>
                  <w:szCs w:val="24"/>
                </w:rPr>
                <w:t>The League of Nations 1919.</w:t>
              </w:r>
              <w:r w:rsidRPr="00A05F53">
                <w:rPr>
                  <w:rFonts w:asciiTheme="minorEastAsia" w:hAnsiTheme="minorEastAsia" w:cstheme="minorEastAsia" w:hint="eastAsia"/>
                  <w:noProof/>
                  <w:color w:val="000000" w:themeColor="text1"/>
                  <w:sz w:val="24"/>
                  <w:szCs w:val="24"/>
                </w:rPr>
                <w:t xml:space="preserve"> Vol. 2, in </w:t>
              </w:r>
              <w:r w:rsidRPr="00A05F53">
                <w:rPr>
                  <w:rFonts w:asciiTheme="minorEastAsia" w:hAnsiTheme="minorEastAsia" w:cstheme="minorEastAsia" w:hint="eastAsia"/>
                  <w:i/>
                  <w:iCs/>
                  <w:noProof/>
                  <w:color w:val="000000" w:themeColor="text1"/>
                  <w:sz w:val="24"/>
                  <w:szCs w:val="24"/>
                </w:rPr>
                <w:t>For the Record: A Documentary History of America</w:t>
              </w:r>
              <w:r w:rsidRPr="00A05F53">
                <w:rPr>
                  <w:rFonts w:asciiTheme="minorEastAsia" w:hAnsiTheme="minorEastAsia" w:cstheme="minorEastAsia" w:hint="eastAsia"/>
                  <w:noProof/>
                  <w:color w:val="000000" w:themeColor="text1"/>
                  <w:sz w:val="24"/>
                  <w:szCs w:val="24"/>
                </w:rPr>
                <w:t>, edited by David E. Shi and Holly A. Mayer, 158-160. New York: W. W. Norton &amp; Company.</w:t>
              </w:r>
            </w:p>
            <w:p w14:paraId="5E98A9FD" w14:textId="3534B474" w:rsidR="00A05F53" w:rsidRDefault="00DA6353" w:rsidP="00A05F53">
              <w:r w:rsidRPr="00A05F53">
                <w:rPr>
                  <w:rFonts w:asciiTheme="minorEastAsia" w:hAnsiTheme="minorEastAsia" w:cstheme="minorEastAsia" w:hint="eastAsia"/>
                  <w:b/>
                  <w:bCs/>
                  <w:noProof/>
                  <w:color w:val="000000" w:themeColor="text1"/>
                  <w:sz w:val="24"/>
                  <w:szCs w:val="24"/>
                </w:rPr>
                <w:fldChar w:fldCharType="end"/>
              </w:r>
            </w:p>
          </w:sdtContent>
        </w:sdt>
      </w:sdtContent>
    </w:sdt>
    <w:p w14:paraId="0C890B4E" w14:textId="77777777" w:rsidR="00A05F53" w:rsidRPr="009E2397" w:rsidRDefault="00A05F53" w:rsidP="00A05F53">
      <w:pPr>
        <w:spacing w:after="0" w:line="480" w:lineRule="auto"/>
        <w:ind w:firstLine="720"/>
        <w:rPr>
          <w:rFonts w:ascii="Times" w:hAnsi="Times" w:cs="Times"/>
          <w:color w:val="000000" w:themeColor="text1"/>
          <w:sz w:val="24"/>
          <w:szCs w:val="24"/>
        </w:rPr>
      </w:pPr>
    </w:p>
    <w:p w14:paraId="37743105" w14:textId="77777777" w:rsidR="00661978" w:rsidRPr="00CF4875" w:rsidRDefault="00661978" w:rsidP="0067733F">
      <w:pPr>
        <w:spacing w:after="0" w:line="480" w:lineRule="auto"/>
        <w:ind w:firstLine="720"/>
        <w:rPr>
          <w:rFonts w:ascii="Times" w:hAnsi="Times" w:cs="Times"/>
          <w:sz w:val="24"/>
          <w:szCs w:val="24"/>
        </w:rPr>
      </w:pPr>
    </w:p>
    <w:sectPr w:rsidR="00661978"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C5C5A" w14:textId="77777777" w:rsidR="00DA6353" w:rsidRDefault="00DA6353">
      <w:pPr>
        <w:spacing w:after="0" w:line="240" w:lineRule="auto"/>
      </w:pPr>
      <w:r>
        <w:separator/>
      </w:r>
    </w:p>
  </w:endnote>
  <w:endnote w:type="continuationSeparator" w:id="0">
    <w:p w14:paraId="17BA6068" w14:textId="77777777" w:rsidR="00DA6353" w:rsidRDefault="00DA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4F30" w14:textId="77777777" w:rsidR="00DA6353" w:rsidRDefault="00DA6353" w:rsidP="00CF4875">
      <w:pPr>
        <w:spacing w:after="0" w:line="240" w:lineRule="auto"/>
      </w:pPr>
      <w:r>
        <w:separator/>
      </w:r>
    </w:p>
  </w:footnote>
  <w:footnote w:type="continuationSeparator" w:id="0">
    <w:p w14:paraId="01225937" w14:textId="77777777" w:rsidR="00DA6353" w:rsidRDefault="00DA6353" w:rsidP="00CF4875">
      <w:pPr>
        <w:spacing w:after="0" w:line="240" w:lineRule="auto"/>
      </w:pPr>
      <w:r>
        <w:continuationSeparator/>
      </w:r>
    </w:p>
  </w:footnote>
  <w:footnote w:id="1">
    <w:p w14:paraId="15267EC5" w14:textId="47273F9B" w:rsidR="003B0B48" w:rsidRPr="003B0B48" w:rsidRDefault="00DA6353" w:rsidP="003B0B48">
      <w:pPr>
        <w:pStyle w:val="Bibliography"/>
        <w:ind w:left="720" w:hanging="720"/>
        <w:rPr>
          <w:rFonts w:asciiTheme="minorEastAsia" w:hAnsiTheme="minorEastAsia" w:cstheme="minorEastAsia"/>
          <w:noProof/>
          <w:color w:val="000000" w:themeColor="text1"/>
          <w:sz w:val="24"/>
          <w:szCs w:val="24"/>
        </w:rPr>
      </w:pPr>
      <w:r>
        <w:rPr>
          <w:rStyle w:val="FootnoteReference"/>
        </w:rPr>
        <w:footnoteRef/>
      </w:r>
      <w:r>
        <w:t xml:space="preserve"> </w:t>
      </w:r>
      <w:r w:rsidRPr="003B0B48">
        <w:rPr>
          <w:rFonts w:asciiTheme="minorEastAsia" w:hAnsiTheme="minorEastAsia" w:cstheme="minorEastAsia" w:hint="eastAsia"/>
          <w:noProof/>
          <w:color w:val="000000" w:themeColor="text1"/>
          <w:sz w:val="21"/>
          <w:szCs w:val="21"/>
        </w:rPr>
        <w:t xml:space="preserve">Corbett, P. Scott, Volker Janssen, John M. Lund, Todd Pfannestiel, Paul Vickery, and Sylvie Waskiewicz. 2018. </w:t>
      </w:r>
      <w:r w:rsidRPr="003B0B48">
        <w:rPr>
          <w:rFonts w:asciiTheme="minorEastAsia" w:hAnsiTheme="minorEastAsia" w:cstheme="minorEastAsia" w:hint="eastAsia"/>
          <w:i/>
          <w:iCs/>
          <w:noProof/>
          <w:color w:val="000000" w:themeColor="text1"/>
          <w:sz w:val="21"/>
          <w:szCs w:val="21"/>
        </w:rPr>
        <w:t>U.S. History.</w:t>
      </w:r>
      <w:r w:rsidRPr="003B0B48">
        <w:rPr>
          <w:rFonts w:asciiTheme="minorEastAsia" w:hAnsiTheme="minorEastAsia" w:cstheme="minorEastAsia" w:hint="eastAsia"/>
          <w:noProof/>
          <w:color w:val="000000" w:themeColor="text1"/>
          <w:sz w:val="21"/>
          <w:szCs w:val="21"/>
        </w:rPr>
        <w:t xml:space="preserve"> Rice University: OpenStax CNX, OpenStax College History. http://cnx.org/contents/a7ba2fb8-8925-4987-b182-5f4429d48daa@6.16.</w:t>
      </w:r>
    </w:p>
  </w:footnote>
  <w:footnote w:id="2">
    <w:p w14:paraId="79AE8CAD" w14:textId="7DD07EC2" w:rsidR="00A05F53" w:rsidRPr="00A05F53" w:rsidRDefault="00DA6353" w:rsidP="00A05F53">
      <w:pPr>
        <w:pStyle w:val="Bibliography"/>
        <w:ind w:left="720" w:hanging="720"/>
        <w:rPr>
          <w:rFonts w:asciiTheme="minorEastAsia" w:hAnsiTheme="minorEastAsia" w:cstheme="minorEastAsia"/>
          <w:noProof/>
          <w:color w:val="000000" w:themeColor="text1"/>
          <w:sz w:val="24"/>
          <w:szCs w:val="24"/>
          <w:lang w:eastAsia="zh-CN"/>
        </w:rPr>
      </w:pPr>
      <w:r>
        <w:rPr>
          <w:rStyle w:val="FootnoteReference"/>
        </w:rPr>
        <w:footnoteRef/>
      </w:r>
      <w:r>
        <w:t xml:space="preserve"> </w:t>
      </w:r>
      <w:r w:rsidRPr="00A05F53">
        <w:rPr>
          <w:rFonts w:asciiTheme="minorEastAsia" w:hAnsiTheme="minorEastAsia" w:cstheme="minorEastAsia" w:hint="eastAsia"/>
          <w:noProof/>
          <w:color w:val="000000" w:themeColor="text1"/>
          <w:sz w:val="21"/>
          <w:szCs w:val="21"/>
        </w:rPr>
        <w:t xml:space="preserve">Compton, Karl T. 2016. </w:t>
      </w:r>
      <w:r w:rsidRPr="00A05F53">
        <w:rPr>
          <w:rFonts w:asciiTheme="minorEastAsia" w:hAnsiTheme="minorEastAsia" w:cstheme="minorEastAsia" w:hint="eastAsia"/>
          <w:i/>
          <w:iCs/>
          <w:noProof/>
          <w:color w:val="000000" w:themeColor="text1"/>
          <w:sz w:val="21"/>
          <w:szCs w:val="21"/>
        </w:rPr>
        <w:t>If the Atomic Bomb Had Not Been Used 1946.</w:t>
      </w:r>
      <w:r w:rsidRPr="00A05F53">
        <w:rPr>
          <w:rFonts w:asciiTheme="minorEastAsia" w:hAnsiTheme="minorEastAsia" w:cstheme="minorEastAsia" w:hint="eastAsia"/>
          <w:noProof/>
          <w:color w:val="000000" w:themeColor="text1"/>
          <w:sz w:val="21"/>
          <w:szCs w:val="21"/>
        </w:rPr>
        <w:t xml:space="preserve"> Vol. 2, in </w:t>
      </w:r>
      <w:r w:rsidRPr="00A05F53">
        <w:rPr>
          <w:rFonts w:asciiTheme="minorEastAsia" w:hAnsiTheme="minorEastAsia" w:cstheme="minorEastAsia" w:hint="eastAsia"/>
          <w:i/>
          <w:iCs/>
          <w:noProof/>
          <w:color w:val="000000" w:themeColor="text1"/>
          <w:sz w:val="21"/>
          <w:szCs w:val="21"/>
        </w:rPr>
        <w:t>For the Record: A Documentary History of America</w:t>
      </w:r>
      <w:r w:rsidRPr="00A05F53">
        <w:rPr>
          <w:rFonts w:asciiTheme="minorEastAsia" w:hAnsiTheme="minorEastAsia" w:cstheme="minorEastAsia" w:hint="eastAsia"/>
          <w:noProof/>
          <w:color w:val="000000" w:themeColor="text1"/>
          <w:sz w:val="21"/>
          <w:szCs w:val="21"/>
        </w:rPr>
        <w:t>, 29</w:t>
      </w:r>
      <w:r w:rsidRPr="00A05F53">
        <w:rPr>
          <w:rFonts w:asciiTheme="minorEastAsia" w:hAnsiTheme="minorEastAsia" w:cstheme="minorEastAsia" w:hint="eastAsia"/>
          <w:noProof/>
          <w:color w:val="000000" w:themeColor="text1"/>
          <w:sz w:val="21"/>
          <w:szCs w:val="21"/>
        </w:rPr>
        <w:t>0-233. New York, NY: W. W. Norton &amp; Company.</w:t>
      </w:r>
    </w:p>
  </w:footnote>
  <w:footnote w:id="3">
    <w:p w14:paraId="301D00D9" w14:textId="7EBEE730" w:rsidR="003B0B48" w:rsidRPr="003B0B48" w:rsidRDefault="00DA6353" w:rsidP="003B0B48">
      <w:pPr>
        <w:pStyle w:val="Bibliography"/>
        <w:ind w:left="720" w:hanging="720"/>
        <w:rPr>
          <w:rFonts w:asciiTheme="minorEastAsia" w:hAnsiTheme="minorEastAsia" w:cstheme="minorEastAsia"/>
          <w:noProof/>
          <w:color w:val="000000" w:themeColor="text1"/>
          <w:sz w:val="24"/>
          <w:szCs w:val="24"/>
        </w:rPr>
      </w:pPr>
      <w:r>
        <w:rPr>
          <w:rStyle w:val="FootnoteReference"/>
        </w:rPr>
        <w:footnoteRef/>
      </w:r>
      <w:r>
        <w:t xml:space="preserve"> </w:t>
      </w:r>
      <w:r w:rsidRPr="003B0B48">
        <w:rPr>
          <w:rFonts w:asciiTheme="minorEastAsia" w:hAnsiTheme="minorEastAsia" w:cstheme="minorEastAsia" w:hint="eastAsia"/>
          <w:noProof/>
          <w:color w:val="000000" w:themeColor="text1"/>
          <w:sz w:val="21"/>
          <w:szCs w:val="21"/>
        </w:rPr>
        <w:t xml:space="preserve">Wilson, Woodrow. 1919. </w:t>
      </w:r>
      <w:r w:rsidRPr="003B0B48">
        <w:rPr>
          <w:rFonts w:asciiTheme="minorEastAsia" w:hAnsiTheme="minorEastAsia" w:cstheme="minorEastAsia" w:hint="eastAsia"/>
          <w:i/>
          <w:iCs/>
          <w:noProof/>
          <w:color w:val="000000" w:themeColor="text1"/>
          <w:sz w:val="21"/>
          <w:szCs w:val="21"/>
        </w:rPr>
        <w:t>The League of Nations 1919.</w:t>
      </w:r>
      <w:r w:rsidRPr="003B0B48">
        <w:rPr>
          <w:rFonts w:asciiTheme="minorEastAsia" w:hAnsiTheme="minorEastAsia" w:cstheme="minorEastAsia" w:hint="eastAsia"/>
          <w:noProof/>
          <w:color w:val="000000" w:themeColor="text1"/>
          <w:sz w:val="21"/>
          <w:szCs w:val="21"/>
        </w:rPr>
        <w:t xml:space="preserve"> Vol. 2, in </w:t>
      </w:r>
      <w:r w:rsidRPr="003B0B48">
        <w:rPr>
          <w:rFonts w:asciiTheme="minorEastAsia" w:hAnsiTheme="minorEastAsia" w:cstheme="minorEastAsia" w:hint="eastAsia"/>
          <w:i/>
          <w:iCs/>
          <w:noProof/>
          <w:color w:val="000000" w:themeColor="text1"/>
          <w:sz w:val="21"/>
          <w:szCs w:val="21"/>
        </w:rPr>
        <w:t>For the Record: A Documentary History of America</w:t>
      </w:r>
      <w:r w:rsidRPr="003B0B48">
        <w:rPr>
          <w:rFonts w:asciiTheme="minorEastAsia" w:hAnsiTheme="minorEastAsia" w:cstheme="minorEastAsia" w:hint="eastAsia"/>
          <w:noProof/>
          <w:color w:val="000000" w:themeColor="text1"/>
          <w:sz w:val="21"/>
          <w:szCs w:val="21"/>
        </w:rPr>
        <w:t>, edited by David E. Shi and Holly A. Mayer, 158-160. New York: W. W. Norton &amp; Company.</w:t>
      </w:r>
    </w:p>
  </w:footnote>
  <w:footnote w:id="4">
    <w:p w14:paraId="4E5D96B0" w14:textId="5F89220B" w:rsidR="003B0B48" w:rsidRPr="003B0B48" w:rsidRDefault="00DA6353" w:rsidP="003B0B48">
      <w:pPr>
        <w:pStyle w:val="Bibliography"/>
        <w:ind w:left="720" w:hanging="720"/>
        <w:rPr>
          <w:rFonts w:asciiTheme="minorEastAsia" w:hAnsiTheme="minorEastAsia" w:cstheme="minorEastAsia"/>
          <w:noProof/>
          <w:color w:val="000000" w:themeColor="text1"/>
          <w:sz w:val="24"/>
          <w:szCs w:val="24"/>
        </w:rPr>
      </w:pPr>
      <w:r>
        <w:rPr>
          <w:rStyle w:val="FootnoteReference"/>
        </w:rPr>
        <w:footnoteRef/>
      </w:r>
      <w:r>
        <w:t xml:space="preserve"> </w:t>
      </w:r>
      <w:r w:rsidRPr="003B0B48">
        <w:rPr>
          <w:rFonts w:asciiTheme="minorEastAsia" w:hAnsiTheme="minorEastAsia" w:cstheme="minorEastAsia" w:hint="eastAsia"/>
          <w:noProof/>
          <w:color w:val="000000" w:themeColor="text1"/>
          <w:sz w:val="21"/>
          <w:szCs w:val="21"/>
        </w:rPr>
        <w:t xml:space="preserve">Corbett, </w:t>
      </w:r>
      <w:r w:rsidRPr="003B0B48">
        <w:rPr>
          <w:rFonts w:asciiTheme="minorEastAsia" w:hAnsiTheme="minorEastAsia" w:cstheme="minorEastAsia" w:hint="eastAsia"/>
          <w:noProof/>
          <w:color w:val="000000" w:themeColor="text1"/>
          <w:sz w:val="21"/>
          <w:szCs w:val="21"/>
        </w:rPr>
        <w:t xml:space="preserve">P. Scott, Volker Janssen, John M. Lund, Todd Pfannestiel, Paul Vickery, and Sylvie Waskiewicz. 2018. </w:t>
      </w:r>
      <w:r w:rsidRPr="003B0B48">
        <w:rPr>
          <w:rFonts w:asciiTheme="minorEastAsia" w:hAnsiTheme="minorEastAsia" w:cstheme="minorEastAsia" w:hint="eastAsia"/>
          <w:i/>
          <w:iCs/>
          <w:noProof/>
          <w:color w:val="000000" w:themeColor="text1"/>
          <w:sz w:val="21"/>
          <w:szCs w:val="21"/>
        </w:rPr>
        <w:t>U.S. History.</w:t>
      </w:r>
      <w:r w:rsidRPr="003B0B48">
        <w:rPr>
          <w:rFonts w:asciiTheme="minorEastAsia" w:hAnsiTheme="minorEastAsia" w:cstheme="minorEastAsia" w:hint="eastAsia"/>
          <w:noProof/>
          <w:color w:val="000000" w:themeColor="text1"/>
          <w:sz w:val="21"/>
          <w:szCs w:val="21"/>
        </w:rPr>
        <w:t xml:space="preserve"> Rice University: OpenStax CNX, OpenStax College History. http://cnx.org/contents/a7ba2fb8-8925-4987-b182-5f4429d48daa@6.16.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41C7" w14:textId="77777777" w:rsidR="00CF4875" w:rsidRPr="00CF4875" w:rsidRDefault="00DA6353">
    <w:pPr>
      <w:pStyle w:val="Header"/>
      <w:jc w:val="right"/>
      <w:rPr>
        <w:rFonts w:ascii="Times" w:hAnsi="Times" w:cs="Times"/>
        <w:sz w:val="24"/>
        <w:szCs w:val="24"/>
      </w:rPr>
    </w:pPr>
    <w:r>
      <w:rPr>
        <w:rFonts w:ascii="Times" w:hAnsi="Times" w:cs="Times"/>
        <w:sz w:val="24"/>
        <w:szCs w:val="24"/>
      </w:rPr>
      <w:t>Christina</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214475">
      <w:rPr>
        <w:rFonts w:ascii="Times" w:hAnsi="Times" w:cs="Times"/>
        <w:noProof/>
        <w:sz w:val="24"/>
        <w:szCs w:val="24"/>
      </w:rPr>
      <w:t>6</w:t>
    </w:r>
    <w:r w:rsidRPr="00CF4875">
      <w:rPr>
        <w:rFonts w:ascii="Times" w:hAnsi="Times" w:cs="Times"/>
        <w:noProof/>
        <w:sz w:val="24"/>
        <w:szCs w:val="24"/>
      </w:rPr>
      <w:fldChar w:fldCharType="end"/>
    </w:r>
  </w:p>
  <w:p w14:paraId="3958513A"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213B1"/>
    <w:rsid w:val="0002733A"/>
    <w:rsid w:val="001121CD"/>
    <w:rsid w:val="0012311B"/>
    <w:rsid w:val="00132C17"/>
    <w:rsid w:val="00145E23"/>
    <w:rsid w:val="00166CE0"/>
    <w:rsid w:val="001A3603"/>
    <w:rsid w:val="001A7D25"/>
    <w:rsid w:val="001C497A"/>
    <w:rsid w:val="001E3B2F"/>
    <w:rsid w:val="00214475"/>
    <w:rsid w:val="00325C8C"/>
    <w:rsid w:val="00372754"/>
    <w:rsid w:val="0039699E"/>
    <w:rsid w:val="003B0B48"/>
    <w:rsid w:val="003B380B"/>
    <w:rsid w:val="003D43E8"/>
    <w:rsid w:val="00422DE4"/>
    <w:rsid w:val="004B7C41"/>
    <w:rsid w:val="00530836"/>
    <w:rsid w:val="0055063C"/>
    <w:rsid w:val="005B02FA"/>
    <w:rsid w:val="005D7CA7"/>
    <w:rsid w:val="00651DF2"/>
    <w:rsid w:val="00661129"/>
    <w:rsid w:val="00661978"/>
    <w:rsid w:val="0067733F"/>
    <w:rsid w:val="00687429"/>
    <w:rsid w:val="0069078A"/>
    <w:rsid w:val="006D5C70"/>
    <w:rsid w:val="007F5885"/>
    <w:rsid w:val="0080397C"/>
    <w:rsid w:val="00826D83"/>
    <w:rsid w:val="00866C0E"/>
    <w:rsid w:val="00866E21"/>
    <w:rsid w:val="008E04C8"/>
    <w:rsid w:val="008F0DDD"/>
    <w:rsid w:val="009A6189"/>
    <w:rsid w:val="009D247A"/>
    <w:rsid w:val="009E20DB"/>
    <w:rsid w:val="009E2397"/>
    <w:rsid w:val="00A05F53"/>
    <w:rsid w:val="00A21021"/>
    <w:rsid w:val="00AA1CC2"/>
    <w:rsid w:val="00B10097"/>
    <w:rsid w:val="00B131B2"/>
    <w:rsid w:val="00B37A56"/>
    <w:rsid w:val="00B60240"/>
    <w:rsid w:val="00B80369"/>
    <w:rsid w:val="00B8587F"/>
    <w:rsid w:val="00B977FA"/>
    <w:rsid w:val="00BA3BA7"/>
    <w:rsid w:val="00BB25F5"/>
    <w:rsid w:val="00BC13D1"/>
    <w:rsid w:val="00BC71DF"/>
    <w:rsid w:val="00CF4875"/>
    <w:rsid w:val="00D63B05"/>
    <w:rsid w:val="00D65C34"/>
    <w:rsid w:val="00D737A7"/>
    <w:rsid w:val="00DA6353"/>
    <w:rsid w:val="00DD0C78"/>
    <w:rsid w:val="00DD36B5"/>
    <w:rsid w:val="00DF4AB3"/>
    <w:rsid w:val="00E76F48"/>
    <w:rsid w:val="00EF3797"/>
    <w:rsid w:val="00F225DC"/>
    <w:rsid w:val="00F45B50"/>
    <w:rsid w:val="00FA0049"/>
    <w:rsid w:val="00FE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896602-2DB9-4939-BCB3-6A0FC1A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05F53"/>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semiHidden/>
    <w:unhideWhenUsed/>
    <w:rsid w:val="00B10097"/>
    <w:rPr>
      <w:color w:val="0000FF"/>
      <w:u w:val="single"/>
    </w:rPr>
  </w:style>
  <w:style w:type="character" w:customStyle="1" w:styleId="Heading1Char">
    <w:name w:val="Heading 1 Char"/>
    <w:basedOn w:val="DefaultParagraphFont"/>
    <w:link w:val="Heading1"/>
    <w:uiPriority w:val="9"/>
    <w:rsid w:val="00A05F53"/>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A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PSc18</b:Tag>
    <b:SourceType>Book</b:SourceType>
    <b:Guid>{12A43454-A423-4ECE-B316-0E3C640EAF6A}</b:Guid>
    <b:Title>U.S. History</b:Title>
    <b:Year>2018</b:Year>
    <b:URL>http://cnx.org/contents/a7ba2fb8-8925-4987-b182-5f4429d48daa@6.16.</b:URL>
    <b:City>Rice University</b:City>
    <b:Publisher>OpenStax CNX, OpenStax College History</b:Publisher>
    <b:Author>
      <b:Author>
        <b:NameList>
          <b:Person>
            <b:Last>Corbett</b:Last>
            <b:First>P.</b:First>
            <b:Middle>Scott</b:Middle>
          </b:Person>
          <b:Person>
            <b:Last>Janssen</b:Last>
            <b:First>Volker</b:First>
          </b:Person>
          <b:Person>
            <b:Last>Lund</b:Last>
            <b:First>John</b:First>
            <b:Middle>M.</b:Middle>
          </b:Person>
          <b:Person>
            <b:Last>Pfannestiel</b:Last>
            <b:First>Todd</b:First>
          </b:Person>
          <b:Person>
            <b:Last>Vickery</b:Last>
            <b:First>Paul</b:First>
          </b:Person>
          <b:Person>
            <b:Last>Waskiewicz</b:Last>
            <b:First>Sylvie</b:First>
          </b:Person>
        </b:NameList>
      </b:Author>
    </b:Author>
    <b:RefOrder>1</b:RefOrder>
  </b:Source>
  <b:Source>
    <b:Tag>Woo19</b:Tag>
    <b:SourceType>BookSection</b:SourceType>
    <b:Guid>{F72A0E5F-0FD1-4455-A274-4B719E7B267C}</b:Guid>
    <b:Title>The League of Nations 1919</b:Title>
    <b:Year>1919</b:Year>
    <b:City>New York</b:City>
    <b:Publisher>W. W. Norton &amp; Company</b:Publisher>
    <b:BookTitle>For the Record: A Documentary History of America</b:BookTitle>
    <b:Pages>158-160</b:Pages>
    <b:Author>
      <b:Author>
        <b:NameList>
          <b:Person>
            <b:Last>Wilson</b:Last>
            <b:First>Woodrow</b:First>
          </b:Person>
        </b:NameList>
      </b:Author>
      <b:Editor>
        <b:NameList>
          <b:Person>
            <b:Last>Shi</b:Last>
            <b:First>David</b:First>
            <b:Middle>E.</b:Middle>
          </b:Person>
          <b:Person>
            <b:Last>Mayer</b:Last>
            <b:First>Holly</b:First>
            <b:Middle>A.</b:Middle>
          </b:Person>
        </b:NameList>
      </b:Editor>
    </b:Author>
    <b:Volume>2</b:Volume>
    <b:StandardNumber>9780393283044</b:StandardNumber>
    <b:Edition>6th</b:Edition>
    <b:RefOrder>3</b:RefOrder>
  </b:Source>
  <b:Source>
    <b:Tag>Com16</b:Tag>
    <b:SourceType>BookSection</b:SourceType>
    <b:Guid>{E5914A3F-84D4-4982-A5A1-6257D3897351}</b:Guid>
    <b:Author>
      <b:Author>
        <b:NameList>
          <b:Person>
            <b:Last>Compton</b:Last>
            <b:First>Karl</b:First>
            <b:Middle>T.</b:Middle>
          </b:Person>
        </b:NameList>
      </b:Author>
    </b:Author>
    <b:Title>If the Atomic Bomb Had Not Been Used 1946</b:Title>
    <b:BookTitle>For the Record: A Documentary History of America</b:BookTitle>
    <b:Year>2016</b:Year>
    <b:Pages>290-233</b:Pages>
    <b:City>New York, NY</b:City>
    <b:Publisher>W. W. Norton &amp; Company</b:Publisher>
    <b:Volume>2</b:Volume>
    <b:StandardNumber> 978-0393283044</b:StandardNumber>
    <b:Edition>6th</b:Edition>
    <b:RefOrder>2</b:RefOrder>
  </b:Source>
</b:Sources>
</file>

<file path=customXml/itemProps1.xml><?xml version="1.0" encoding="utf-8"?>
<ds:datastoreItem xmlns:ds="http://schemas.openxmlformats.org/officeDocument/2006/customXml" ds:itemID="{0B940E72-307A-CB4E-84DB-B9FDD0A6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945</Words>
  <Characters>5391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Microsoft Office User</cp:lastModifiedBy>
  <cp:revision>43</cp:revision>
  <dcterms:created xsi:type="dcterms:W3CDTF">2019-01-16T09:12:00Z</dcterms:created>
  <dcterms:modified xsi:type="dcterms:W3CDTF">2019-01-16T21:42:00Z</dcterms:modified>
</cp:coreProperties>
</file>