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6E91C" w14:textId="77777777" w:rsidR="0008177B" w:rsidRPr="00A73599" w:rsidRDefault="0008177B" w:rsidP="00C40704">
      <w:pPr>
        <w:spacing w:after="0" w:line="480" w:lineRule="auto"/>
        <w:rPr>
          <w:rFonts w:asciiTheme="minorEastAsia" w:hAnsiTheme="minorEastAsia" w:cstheme="minorEastAsia"/>
          <w:sz w:val="24"/>
          <w:szCs w:val="24"/>
        </w:rPr>
      </w:pPr>
    </w:p>
    <w:p w14:paraId="4E798CBF" w14:textId="77777777" w:rsidR="0008177B" w:rsidRPr="00A73599" w:rsidRDefault="0008177B" w:rsidP="00C40704">
      <w:pPr>
        <w:spacing w:after="0" w:line="480" w:lineRule="auto"/>
        <w:rPr>
          <w:rFonts w:asciiTheme="minorEastAsia" w:hAnsiTheme="minorEastAsia" w:cstheme="minorEastAsia"/>
          <w:sz w:val="24"/>
          <w:szCs w:val="24"/>
        </w:rPr>
      </w:pPr>
    </w:p>
    <w:p w14:paraId="2819505B" w14:textId="77777777" w:rsidR="0008177B" w:rsidRPr="00A73599" w:rsidRDefault="0008177B" w:rsidP="00C40704">
      <w:pPr>
        <w:spacing w:after="0" w:line="480" w:lineRule="auto"/>
        <w:rPr>
          <w:rFonts w:asciiTheme="minorEastAsia" w:hAnsiTheme="minorEastAsia" w:cstheme="minorEastAsia"/>
          <w:sz w:val="24"/>
          <w:szCs w:val="24"/>
        </w:rPr>
      </w:pPr>
    </w:p>
    <w:p w14:paraId="6E2C8C25" w14:textId="77777777" w:rsidR="0008177B" w:rsidRPr="00A73599" w:rsidRDefault="0008177B" w:rsidP="00C40704">
      <w:pPr>
        <w:spacing w:after="0" w:line="480" w:lineRule="auto"/>
        <w:rPr>
          <w:rFonts w:asciiTheme="minorEastAsia" w:hAnsiTheme="minorEastAsia" w:cstheme="minorEastAsia"/>
          <w:sz w:val="24"/>
          <w:szCs w:val="24"/>
        </w:rPr>
      </w:pPr>
    </w:p>
    <w:p w14:paraId="3E096685" w14:textId="77777777" w:rsidR="00E25C3A" w:rsidRPr="00A73599" w:rsidRDefault="00E25C3A" w:rsidP="00C40704">
      <w:pPr>
        <w:spacing w:after="0" w:line="480" w:lineRule="auto"/>
        <w:rPr>
          <w:rFonts w:asciiTheme="minorEastAsia" w:hAnsiTheme="minorEastAsia" w:cstheme="minorEastAsia"/>
          <w:sz w:val="24"/>
          <w:szCs w:val="24"/>
        </w:rPr>
      </w:pPr>
    </w:p>
    <w:p w14:paraId="09AED88F" w14:textId="77777777" w:rsidR="00E25C3A" w:rsidRPr="00A73599" w:rsidRDefault="00E25C3A" w:rsidP="00C40704">
      <w:pPr>
        <w:spacing w:after="0" w:line="480" w:lineRule="auto"/>
        <w:rPr>
          <w:rFonts w:asciiTheme="minorEastAsia" w:hAnsiTheme="minorEastAsia" w:cstheme="minorEastAsia"/>
          <w:sz w:val="24"/>
          <w:szCs w:val="24"/>
        </w:rPr>
      </w:pPr>
    </w:p>
    <w:p w14:paraId="13B68A11" w14:textId="77777777" w:rsidR="0008177B" w:rsidRPr="00A73599" w:rsidRDefault="0008177B" w:rsidP="00C40704">
      <w:pPr>
        <w:spacing w:after="0" w:line="480" w:lineRule="auto"/>
        <w:jc w:val="center"/>
        <w:rPr>
          <w:rFonts w:asciiTheme="minorEastAsia" w:hAnsiTheme="minorEastAsia" w:cstheme="minorEastAsia"/>
          <w:sz w:val="24"/>
          <w:szCs w:val="24"/>
        </w:rPr>
      </w:pPr>
    </w:p>
    <w:p w14:paraId="5CDB76C8" w14:textId="77777777" w:rsidR="0008177B" w:rsidRPr="00A73599" w:rsidRDefault="0008177B" w:rsidP="00C40704">
      <w:pPr>
        <w:spacing w:after="0" w:line="480" w:lineRule="auto"/>
        <w:jc w:val="center"/>
        <w:rPr>
          <w:rFonts w:asciiTheme="minorEastAsia" w:hAnsiTheme="minorEastAsia" w:cstheme="minorEastAsia"/>
          <w:sz w:val="24"/>
          <w:szCs w:val="24"/>
        </w:rPr>
      </w:pPr>
    </w:p>
    <w:p w14:paraId="5E61FFEF" w14:textId="77777777" w:rsidR="00B62FB1" w:rsidRDefault="0045254E" w:rsidP="0032395B">
      <w:pPr>
        <w:spacing w:after="0" w:line="480" w:lineRule="auto"/>
        <w:jc w:val="center"/>
        <w:rPr>
          <w:rFonts w:asciiTheme="minorEastAsia" w:hAnsiTheme="minorEastAsia" w:cstheme="minorEastAsia"/>
          <w:sz w:val="24"/>
          <w:szCs w:val="24"/>
        </w:rPr>
      </w:pPr>
      <w:r w:rsidRPr="00B62FB1">
        <w:rPr>
          <w:rFonts w:asciiTheme="minorEastAsia" w:hAnsiTheme="minorEastAsia" w:cstheme="minorEastAsia"/>
          <w:sz w:val="24"/>
          <w:szCs w:val="24"/>
        </w:rPr>
        <w:t>The Old Way of Singing</w:t>
      </w:r>
    </w:p>
    <w:p w14:paraId="4D562929" w14:textId="70A4565A" w:rsidR="0008177B" w:rsidRPr="00A73599" w:rsidRDefault="0045254E" w:rsidP="0032395B">
      <w:pPr>
        <w:spacing w:after="0" w:line="480" w:lineRule="auto"/>
        <w:jc w:val="center"/>
        <w:rPr>
          <w:rFonts w:asciiTheme="minorEastAsia" w:hAnsiTheme="minorEastAsia" w:cstheme="minorEastAsia"/>
          <w:sz w:val="24"/>
          <w:szCs w:val="24"/>
        </w:rPr>
      </w:pPr>
      <w:r w:rsidRPr="00A73599">
        <w:rPr>
          <w:rFonts w:asciiTheme="minorEastAsia" w:hAnsiTheme="minorEastAsia" w:cstheme="minorEastAsia" w:hint="eastAsia"/>
          <w:sz w:val="24"/>
          <w:szCs w:val="24"/>
        </w:rPr>
        <w:t>CW Cheng</w:t>
      </w:r>
    </w:p>
    <w:p w14:paraId="7D75F50A" w14:textId="77777777" w:rsidR="0008177B" w:rsidRPr="00A73599" w:rsidRDefault="0045254E" w:rsidP="00C40704">
      <w:pPr>
        <w:spacing w:after="0" w:line="480" w:lineRule="auto"/>
        <w:jc w:val="center"/>
        <w:rPr>
          <w:rFonts w:asciiTheme="minorEastAsia" w:hAnsiTheme="minorEastAsia" w:cstheme="minorEastAsia"/>
          <w:sz w:val="24"/>
          <w:szCs w:val="24"/>
        </w:rPr>
      </w:pPr>
      <w:r w:rsidRPr="00A73599">
        <w:rPr>
          <w:rFonts w:asciiTheme="minorEastAsia" w:hAnsiTheme="minorEastAsia" w:cstheme="minorEastAsia" w:hint="eastAsia"/>
          <w:sz w:val="24"/>
          <w:szCs w:val="24"/>
        </w:rPr>
        <w:t xml:space="preserve">[Name of the </w:t>
      </w:r>
      <w:r w:rsidR="00A4374D" w:rsidRPr="00A73599">
        <w:rPr>
          <w:rFonts w:asciiTheme="minorEastAsia" w:hAnsiTheme="minorEastAsia" w:cstheme="minorEastAsia" w:hint="eastAsia"/>
          <w:sz w:val="24"/>
          <w:szCs w:val="24"/>
        </w:rPr>
        <w:t>Institution</w:t>
      </w:r>
      <w:r w:rsidRPr="00A73599">
        <w:rPr>
          <w:rFonts w:asciiTheme="minorEastAsia" w:hAnsiTheme="minorEastAsia" w:cstheme="minorEastAsia" w:hint="eastAsia"/>
          <w:sz w:val="24"/>
          <w:szCs w:val="24"/>
        </w:rPr>
        <w:t>]</w:t>
      </w:r>
    </w:p>
    <w:p w14:paraId="31467718" w14:textId="77777777" w:rsidR="0008177B" w:rsidRPr="00A73599" w:rsidRDefault="0008177B" w:rsidP="00C40704">
      <w:pPr>
        <w:spacing w:after="0" w:line="480" w:lineRule="auto"/>
        <w:rPr>
          <w:rFonts w:asciiTheme="minorEastAsia" w:hAnsiTheme="minorEastAsia" w:cstheme="minorEastAsia"/>
          <w:b/>
          <w:i/>
          <w:sz w:val="24"/>
          <w:szCs w:val="24"/>
        </w:rPr>
      </w:pPr>
    </w:p>
    <w:p w14:paraId="7753B44C" w14:textId="77777777" w:rsidR="005B734B" w:rsidRPr="00A73599" w:rsidRDefault="0045254E" w:rsidP="00C40704">
      <w:pPr>
        <w:spacing w:after="0" w:line="480" w:lineRule="auto"/>
        <w:rPr>
          <w:rFonts w:asciiTheme="minorEastAsia" w:hAnsiTheme="minorEastAsia" w:cstheme="minorEastAsia"/>
          <w:sz w:val="24"/>
          <w:szCs w:val="24"/>
        </w:rPr>
      </w:pPr>
      <w:r w:rsidRPr="00A73599">
        <w:rPr>
          <w:rFonts w:asciiTheme="minorEastAsia" w:hAnsiTheme="minorEastAsia" w:cstheme="minorEastAsia" w:hint="eastAsia"/>
          <w:sz w:val="24"/>
          <w:szCs w:val="24"/>
        </w:rPr>
        <w:br w:type="page"/>
      </w:r>
    </w:p>
    <w:p w14:paraId="6138CCFB" w14:textId="18B8168F" w:rsidR="0032395B" w:rsidRPr="00CF66C1" w:rsidRDefault="0045254E" w:rsidP="00CF66C1">
      <w:pPr>
        <w:spacing w:after="0" w:line="480" w:lineRule="auto"/>
        <w:jc w:val="center"/>
        <w:rPr>
          <w:rFonts w:asciiTheme="minorEastAsia" w:hAnsiTheme="minorEastAsia" w:cstheme="minorEastAsia"/>
          <w:sz w:val="24"/>
          <w:szCs w:val="24"/>
        </w:rPr>
      </w:pPr>
      <w:r w:rsidRPr="00CF66C1">
        <w:rPr>
          <w:rFonts w:asciiTheme="minorEastAsia" w:hAnsiTheme="minorEastAsia" w:cstheme="minorEastAsia" w:hint="eastAsia"/>
          <w:sz w:val="24"/>
          <w:szCs w:val="24"/>
        </w:rPr>
        <w:lastRenderedPageBreak/>
        <w:t>The Old Way of Singing</w:t>
      </w:r>
      <w:bookmarkStart w:id="0" w:name="_GoBack"/>
      <w:bookmarkEnd w:id="0"/>
    </w:p>
    <w:p w14:paraId="2F82B7DD" w14:textId="44A56E8F" w:rsidR="008B758F" w:rsidRDefault="0045254E" w:rsidP="002024AF">
      <w:pPr>
        <w:spacing w:after="0" w:line="480" w:lineRule="auto"/>
        <w:ind w:firstLine="720"/>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In the 19</w:t>
      </w:r>
      <w:r w:rsidRPr="00BB47FD">
        <w:rPr>
          <w:rFonts w:asciiTheme="minorEastAsia" w:hAnsiTheme="minorEastAsia" w:cstheme="minorEastAsia"/>
          <w:color w:val="000000" w:themeColor="text1"/>
          <w:sz w:val="24"/>
          <w:szCs w:val="24"/>
          <w:vertAlign w:val="superscript"/>
        </w:rPr>
        <w:t>th</w:t>
      </w:r>
      <w:r>
        <w:rPr>
          <w:rFonts w:asciiTheme="minorEastAsia" w:hAnsiTheme="minorEastAsia" w:cstheme="minorEastAsia"/>
          <w:color w:val="000000" w:themeColor="text1"/>
          <w:sz w:val="24"/>
          <w:szCs w:val="24"/>
        </w:rPr>
        <w:t xml:space="preserve"> and 20</w:t>
      </w:r>
      <w:r w:rsidRPr="00BB47FD">
        <w:rPr>
          <w:rFonts w:asciiTheme="minorEastAsia" w:hAnsiTheme="minorEastAsia" w:cstheme="minorEastAsia"/>
          <w:color w:val="000000" w:themeColor="text1"/>
          <w:sz w:val="24"/>
          <w:szCs w:val="24"/>
          <w:vertAlign w:val="superscript"/>
        </w:rPr>
        <w:t>th</w:t>
      </w:r>
      <w:r>
        <w:rPr>
          <w:rFonts w:asciiTheme="minorEastAsia" w:hAnsiTheme="minorEastAsia" w:cstheme="minorEastAsia"/>
          <w:color w:val="000000" w:themeColor="text1"/>
          <w:sz w:val="24"/>
          <w:szCs w:val="24"/>
        </w:rPr>
        <w:t xml:space="preserve"> centuries, lining-out or the ‘Old Way of Singing’ provided a way to sing psalm verses for those that did not have songbooks in a way that they could internalize the lines they listened to, and then repeat them. </w:t>
      </w:r>
      <w:r w:rsidR="00130778">
        <w:rPr>
          <w:rFonts w:asciiTheme="minorEastAsia" w:hAnsiTheme="minorEastAsia" w:cstheme="minorEastAsia"/>
          <w:color w:val="000000" w:themeColor="text1"/>
          <w:sz w:val="24"/>
          <w:szCs w:val="24"/>
        </w:rPr>
        <w:t xml:space="preserve">The Old Way did not have fixed melodies for the psalms and would often be sung upon ballad tunes that could be learned through oral transmission by congregations, families, and churchgoers with slight variations. </w:t>
      </w:r>
      <w:r w:rsidR="00155345">
        <w:rPr>
          <w:rFonts w:asciiTheme="minorEastAsia" w:hAnsiTheme="minorEastAsia" w:cstheme="minorEastAsia"/>
          <w:color w:val="000000" w:themeColor="text1"/>
          <w:sz w:val="24"/>
          <w:szCs w:val="24"/>
        </w:rPr>
        <w:t>Through this way, it deeply impacted the way the Psalms was sung and internalized by the people</w:t>
      </w:r>
      <w:r w:rsidR="002024AF">
        <w:rPr>
          <w:rFonts w:asciiTheme="minorEastAsia" w:hAnsiTheme="minorEastAsia" w:cstheme="minorEastAsia"/>
          <w:color w:val="000000" w:themeColor="text1"/>
          <w:sz w:val="24"/>
          <w:szCs w:val="24"/>
        </w:rPr>
        <w:t>. It provided them with an emotional outlet, especially for congregation members that did not have songbooks, allowing everyone to participate in the singing</w:t>
      </w:r>
      <w:r w:rsidR="008C63C4">
        <w:rPr>
          <w:rStyle w:val="FootnoteReference"/>
          <w:rFonts w:asciiTheme="minorEastAsia" w:hAnsiTheme="minorEastAsia" w:cstheme="minorEastAsia"/>
          <w:color w:val="000000" w:themeColor="text1"/>
          <w:sz w:val="24"/>
          <w:szCs w:val="24"/>
        </w:rPr>
        <w:footnoteReference w:id="1"/>
      </w:r>
      <w:r w:rsidR="0018491D">
        <w:rPr>
          <w:rFonts w:asciiTheme="minorEastAsia" w:hAnsiTheme="minorEastAsia" w:cstheme="minorEastAsia"/>
          <w:color w:val="000000" w:themeColor="text1"/>
          <w:sz w:val="24"/>
          <w:szCs w:val="24"/>
        </w:rPr>
        <w:t xml:space="preserve">. Thus, it gained popularity, as psalmody was not restricted to the “musically inclined” only rather anyone could join and internalize the message. </w:t>
      </w:r>
    </w:p>
    <w:p w14:paraId="3A5C8E4E" w14:textId="01EAD6E3" w:rsidR="00142BEE" w:rsidRDefault="0045254E" w:rsidP="0018491D">
      <w:pPr>
        <w:spacing w:after="0" w:line="480" w:lineRule="auto"/>
        <w:ind w:firstLine="720"/>
        <w:rPr>
          <w:rFonts w:asciiTheme="minorEastAsia" w:hAnsiTheme="minorEastAsia" w:cstheme="minorEastAsia"/>
          <w:color w:val="FF0000"/>
          <w:sz w:val="24"/>
          <w:szCs w:val="24"/>
        </w:rPr>
      </w:pPr>
      <w:r>
        <w:rPr>
          <w:rFonts w:asciiTheme="minorEastAsia" w:hAnsiTheme="minorEastAsia" w:cstheme="minorEastAsia"/>
          <w:color w:val="000000" w:themeColor="text1"/>
          <w:sz w:val="24"/>
          <w:szCs w:val="24"/>
        </w:rPr>
        <w:t>The addition of extra notes in lining-out were termed as ornaments by Temperley (1981), which sometimes made the original tune barely recognizable. The loss of rhythm and tempo in the ‘Old Way’, acc</w:t>
      </w:r>
      <w:r>
        <w:rPr>
          <w:rFonts w:asciiTheme="minorEastAsia" w:hAnsiTheme="minorEastAsia" w:cstheme="minorEastAsia"/>
          <w:color w:val="000000" w:themeColor="text1"/>
          <w:sz w:val="24"/>
          <w:szCs w:val="24"/>
        </w:rPr>
        <w:t xml:space="preserve">ording to Temperley (1981), was a result of the lead singers shifting to the tune’s next note, while the more timid stragglers who are not acquainted with the tune, or whose pitch sense is unreliable, follow them gradually. In the process, they slide down </w:t>
      </w:r>
      <w:r>
        <w:rPr>
          <w:rFonts w:asciiTheme="minorEastAsia" w:hAnsiTheme="minorEastAsia" w:cstheme="minorEastAsia"/>
          <w:color w:val="000000" w:themeColor="text1"/>
          <w:sz w:val="24"/>
          <w:szCs w:val="24"/>
        </w:rPr>
        <w:t>and up towards the subsequent note through the pitch-matching process</w:t>
      </w:r>
      <w:r w:rsidR="008C63C4">
        <w:rPr>
          <w:rStyle w:val="FootnoteReference"/>
          <w:rFonts w:asciiTheme="minorEastAsia" w:hAnsiTheme="minorEastAsia" w:cstheme="minorEastAsia"/>
          <w:color w:val="000000" w:themeColor="text1"/>
          <w:sz w:val="24"/>
          <w:szCs w:val="24"/>
        </w:rPr>
        <w:footnoteReference w:id="2"/>
      </w:r>
      <w:r>
        <w:rPr>
          <w:rFonts w:asciiTheme="minorEastAsia" w:hAnsiTheme="minorEastAsia" w:cstheme="minorEastAsia"/>
          <w:color w:val="000000" w:themeColor="text1"/>
          <w:sz w:val="24"/>
          <w:szCs w:val="24"/>
        </w:rPr>
        <w:t xml:space="preserve">. Subsequently, everyone is able to join, often briefly, on a new note until the shift towards the new note starts again. </w:t>
      </w:r>
      <w:r w:rsidR="00C179FE" w:rsidRPr="002D0FD5">
        <w:rPr>
          <w:rFonts w:asciiTheme="minorEastAsia" w:hAnsiTheme="minorEastAsia" w:cstheme="minorEastAsia"/>
          <w:color w:val="FF0000"/>
          <w:sz w:val="24"/>
          <w:szCs w:val="24"/>
        </w:rPr>
        <w:t xml:space="preserve"> </w:t>
      </w:r>
    </w:p>
    <w:p w14:paraId="39144B4F" w14:textId="4B541D62" w:rsidR="001E5025" w:rsidRDefault="0045254E" w:rsidP="008C63C4">
      <w:pPr>
        <w:spacing w:after="0" w:line="480" w:lineRule="auto"/>
        <w:ind w:firstLine="720"/>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In the ‘Old way of Singing’, the voice who is singing upon a pa</w:t>
      </w:r>
      <w:r>
        <w:rPr>
          <w:rFonts w:asciiTheme="minorEastAsia" w:hAnsiTheme="minorEastAsia" w:cstheme="minorEastAsia"/>
          <w:color w:val="000000" w:themeColor="text1"/>
          <w:sz w:val="24"/>
          <w:szCs w:val="24"/>
        </w:rPr>
        <w:t xml:space="preserve">rticular tone does not need to coordinate with others, and thus that voice can </w:t>
      </w:r>
      <w:r w:rsidRPr="000D1DD7">
        <w:rPr>
          <w:rFonts w:asciiTheme="minorEastAsia" w:hAnsiTheme="minorEastAsia" w:cstheme="minorEastAsia"/>
          <w:color w:val="000000" w:themeColor="text1"/>
          <w:sz w:val="24"/>
          <w:szCs w:val="24"/>
        </w:rPr>
        <w:t xml:space="preserve">decide when to add ornaments or change </w:t>
      </w:r>
      <w:r w:rsidRPr="000D1DD7">
        <w:rPr>
          <w:rFonts w:asciiTheme="minorEastAsia" w:hAnsiTheme="minorEastAsia" w:cstheme="minorEastAsia"/>
          <w:color w:val="000000" w:themeColor="text1"/>
          <w:sz w:val="24"/>
          <w:szCs w:val="24"/>
        </w:rPr>
        <w:lastRenderedPageBreak/>
        <w:t xml:space="preserve">the pitch. </w:t>
      </w:r>
      <w:r w:rsidR="000D1DD7">
        <w:rPr>
          <w:rFonts w:asciiTheme="minorEastAsia" w:hAnsiTheme="minorEastAsia" w:cstheme="minorEastAsia"/>
          <w:color w:val="000000" w:themeColor="text1"/>
          <w:sz w:val="24"/>
          <w:szCs w:val="24"/>
        </w:rPr>
        <w:t>Generally, s</w:t>
      </w:r>
      <w:r w:rsidR="000D1DD7" w:rsidRPr="000D1DD7">
        <w:rPr>
          <w:rFonts w:asciiTheme="minorEastAsia" w:hAnsiTheme="minorEastAsia" w:cstheme="minorEastAsia"/>
          <w:color w:val="000000" w:themeColor="text1"/>
          <w:sz w:val="24"/>
          <w:szCs w:val="24"/>
        </w:rPr>
        <w:t>inging together requires a way to change the pitch in unison which is either done through text, memory or using tunes that have predictable turns</w:t>
      </w:r>
      <w:r w:rsidR="008C63C4">
        <w:rPr>
          <w:rStyle w:val="FootnoteReference"/>
          <w:rFonts w:asciiTheme="minorEastAsia" w:hAnsiTheme="minorEastAsia" w:cstheme="minorEastAsia"/>
          <w:color w:val="000000" w:themeColor="text1"/>
          <w:sz w:val="24"/>
          <w:szCs w:val="24"/>
        </w:rPr>
        <w:footnoteReference w:id="3"/>
      </w:r>
      <w:r w:rsidR="009C6602" w:rsidRPr="000D1DD7">
        <w:rPr>
          <w:rFonts w:asciiTheme="minorEastAsia" w:hAnsiTheme="minorEastAsia" w:cstheme="minorEastAsia"/>
          <w:color w:val="000000" w:themeColor="text1"/>
          <w:sz w:val="24"/>
          <w:szCs w:val="24"/>
        </w:rPr>
        <w:t>.</w:t>
      </w:r>
      <w:r w:rsidR="008E7E13" w:rsidRPr="000D1DD7">
        <w:rPr>
          <w:rFonts w:asciiTheme="minorEastAsia" w:hAnsiTheme="minorEastAsia" w:cstheme="minorEastAsia"/>
          <w:color w:val="000000" w:themeColor="text1"/>
          <w:sz w:val="24"/>
          <w:szCs w:val="24"/>
        </w:rPr>
        <w:t xml:space="preserve"> </w:t>
      </w:r>
      <w:r w:rsidR="000D1DD7">
        <w:rPr>
          <w:rFonts w:asciiTheme="minorEastAsia" w:hAnsiTheme="minorEastAsia" w:cstheme="minorEastAsia"/>
          <w:color w:val="000000" w:themeColor="text1"/>
          <w:sz w:val="24"/>
          <w:szCs w:val="24"/>
        </w:rPr>
        <w:t xml:space="preserve">Church music experts traditionally view the genre to be simple, correct, chaste, have no ostentation, </w:t>
      </w:r>
      <w:r w:rsidR="000D1DD7" w:rsidRPr="000D1DD7">
        <w:rPr>
          <w:rFonts w:asciiTheme="minorEastAsia" w:hAnsiTheme="minorEastAsia" w:cstheme="minorEastAsia"/>
          <w:color w:val="000000" w:themeColor="text1"/>
          <w:sz w:val="24"/>
          <w:szCs w:val="24"/>
        </w:rPr>
        <w:t>and the music and the text should be handled with care and enhance each other</w:t>
      </w:r>
      <w:r w:rsidR="008C63C4">
        <w:rPr>
          <w:rStyle w:val="FootnoteReference"/>
          <w:rFonts w:asciiTheme="minorEastAsia" w:hAnsiTheme="minorEastAsia" w:cstheme="minorEastAsia"/>
          <w:color w:val="000000" w:themeColor="text1"/>
          <w:sz w:val="24"/>
          <w:szCs w:val="24"/>
        </w:rPr>
        <w:footnoteReference w:id="4"/>
      </w:r>
      <w:r w:rsidR="008E7E13" w:rsidRPr="000D1DD7">
        <w:rPr>
          <w:rFonts w:asciiTheme="minorEastAsia" w:hAnsiTheme="minorEastAsia" w:cstheme="minorEastAsia"/>
          <w:color w:val="000000" w:themeColor="text1"/>
          <w:sz w:val="24"/>
          <w:szCs w:val="24"/>
        </w:rPr>
        <w:t>.</w:t>
      </w:r>
      <w:r w:rsidR="00032513" w:rsidRPr="000D1DD7">
        <w:rPr>
          <w:rFonts w:asciiTheme="minorEastAsia" w:hAnsiTheme="minorEastAsia" w:cstheme="minorEastAsia"/>
          <w:color w:val="000000" w:themeColor="text1"/>
          <w:sz w:val="24"/>
          <w:szCs w:val="24"/>
        </w:rPr>
        <w:t xml:space="preserve"> </w:t>
      </w:r>
      <w:r w:rsidR="000D1DD7">
        <w:rPr>
          <w:rFonts w:asciiTheme="minorEastAsia" w:hAnsiTheme="minorEastAsia" w:cstheme="minorEastAsia"/>
          <w:color w:val="000000" w:themeColor="text1"/>
          <w:sz w:val="24"/>
          <w:szCs w:val="24"/>
        </w:rPr>
        <w:t>The Old Way sometimes defies exact melodic lines and may seem vague or unstandardized owing to the multiple groups of notes usually in its rhythmic scheme. In this, it differs from the Baroque style wherein turns, slides, trills, and appoggiaturas were used as an effect to delaying the main note</w:t>
      </w:r>
      <w:r w:rsidR="008C63C4">
        <w:rPr>
          <w:rStyle w:val="FootnoteReference"/>
          <w:rFonts w:asciiTheme="minorEastAsia" w:hAnsiTheme="minorEastAsia" w:cstheme="minorEastAsia"/>
          <w:color w:val="000000" w:themeColor="text1"/>
          <w:sz w:val="24"/>
          <w:szCs w:val="24"/>
        </w:rPr>
        <w:footnoteReference w:id="5"/>
      </w:r>
      <w:r w:rsidR="008C63C4">
        <w:rPr>
          <w:rFonts w:asciiTheme="minorEastAsia" w:hAnsiTheme="minorEastAsia" w:cstheme="minorEastAsia"/>
          <w:color w:val="000000" w:themeColor="text1"/>
          <w:sz w:val="24"/>
          <w:szCs w:val="24"/>
        </w:rPr>
        <w:t>.</w:t>
      </w:r>
      <w:r w:rsidR="000D1DD7">
        <w:rPr>
          <w:rFonts w:asciiTheme="minorEastAsia" w:hAnsiTheme="minorEastAsia" w:cstheme="minorEastAsia"/>
          <w:color w:val="000000" w:themeColor="text1"/>
          <w:sz w:val="24"/>
          <w:szCs w:val="24"/>
        </w:rPr>
        <w:t xml:space="preserve"> </w:t>
      </w:r>
    </w:p>
    <w:p w14:paraId="50759206" w14:textId="6121370F" w:rsidR="000D1DD7" w:rsidRDefault="0045254E">
      <w:pPr>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br w:type="page"/>
      </w:r>
    </w:p>
    <w:sdt>
      <w:sdtPr>
        <w:rPr>
          <w:rFonts w:asciiTheme="minorEastAsia" w:eastAsiaTheme="minorHAnsi" w:hAnsiTheme="minorEastAsia" w:cstheme="minorEastAsia" w:hint="eastAsia"/>
          <w:b w:val="0"/>
          <w:bCs w:val="0"/>
          <w:color w:val="000000" w:themeColor="text1"/>
          <w:sz w:val="24"/>
          <w:szCs w:val="24"/>
        </w:rPr>
        <w:id w:val="-496496289"/>
        <w:docPartObj>
          <w:docPartGallery w:val="Bibliographies"/>
          <w:docPartUnique/>
        </w:docPartObj>
      </w:sdtPr>
      <w:sdtEndPr/>
      <w:sdtContent>
        <w:p w14:paraId="795C6609" w14:textId="21C3D7A5" w:rsidR="000D1DD7" w:rsidRPr="008F770C" w:rsidRDefault="0045254E" w:rsidP="008F770C">
          <w:pPr>
            <w:pStyle w:val="Heading1"/>
            <w:spacing w:line="480" w:lineRule="auto"/>
            <w:rPr>
              <w:rFonts w:asciiTheme="minorEastAsia" w:hAnsiTheme="minorEastAsia" w:cstheme="minorEastAsia"/>
              <w:color w:val="000000" w:themeColor="text1"/>
              <w:sz w:val="24"/>
              <w:szCs w:val="24"/>
            </w:rPr>
          </w:pPr>
          <w:r w:rsidRPr="008F770C">
            <w:rPr>
              <w:rFonts w:asciiTheme="minorEastAsia" w:hAnsiTheme="minorEastAsia" w:cstheme="minorEastAsia" w:hint="eastAsia"/>
              <w:color w:val="000000" w:themeColor="text1"/>
              <w:sz w:val="24"/>
              <w:szCs w:val="24"/>
            </w:rPr>
            <w:t>Bibliography</w:t>
          </w:r>
        </w:p>
        <w:sdt>
          <w:sdtPr>
            <w:rPr>
              <w:rFonts w:asciiTheme="minorEastAsia" w:hAnsiTheme="minorEastAsia" w:cstheme="minorEastAsia" w:hint="eastAsia"/>
              <w:color w:val="000000" w:themeColor="text1"/>
              <w:sz w:val="24"/>
              <w:szCs w:val="24"/>
            </w:rPr>
            <w:id w:val="111145805"/>
            <w:bibliography/>
          </w:sdtPr>
          <w:sdtEndPr/>
          <w:sdtContent>
            <w:p w14:paraId="117D6D2E" w14:textId="77777777" w:rsidR="000D1DD7" w:rsidRPr="008F770C" w:rsidRDefault="0045254E" w:rsidP="008F770C">
              <w:pPr>
                <w:pStyle w:val="Bibliography"/>
                <w:spacing w:line="480" w:lineRule="auto"/>
                <w:ind w:left="720" w:hanging="720"/>
                <w:rPr>
                  <w:rFonts w:asciiTheme="minorEastAsia" w:hAnsiTheme="minorEastAsia" w:cstheme="minorEastAsia"/>
                  <w:noProof/>
                  <w:color w:val="000000" w:themeColor="text1"/>
                  <w:sz w:val="24"/>
                  <w:szCs w:val="24"/>
                  <w:lang w:eastAsia="zh-CN"/>
                </w:rPr>
              </w:pPr>
              <w:r w:rsidRPr="008F770C">
                <w:rPr>
                  <w:rFonts w:asciiTheme="minorEastAsia" w:hAnsiTheme="minorEastAsia" w:cstheme="minorEastAsia" w:hint="eastAsia"/>
                  <w:color w:val="000000" w:themeColor="text1"/>
                  <w:sz w:val="24"/>
                  <w:szCs w:val="24"/>
                </w:rPr>
                <w:fldChar w:fldCharType="begin"/>
              </w:r>
              <w:r w:rsidRPr="008F770C">
                <w:rPr>
                  <w:rFonts w:asciiTheme="minorEastAsia" w:hAnsiTheme="minorEastAsia" w:cstheme="minorEastAsia" w:hint="eastAsia"/>
                  <w:color w:val="000000" w:themeColor="text1"/>
                  <w:sz w:val="24"/>
                  <w:szCs w:val="24"/>
                </w:rPr>
                <w:instrText xml:space="preserve"> BIBLIOGRAPHY </w:instrText>
              </w:r>
              <w:r w:rsidRPr="008F770C">
                <w:rPr>
                  <w:rFonts w:asciiTheme="minorEastAsia" w:hAnsiTheme="minorEastAsia" w:cstheme="minorEastAsia" w:hint="eastAsia"/>
                  <w:color w:val="000000" w:themeColor="text1"/>
                  <w:sz w:val="24"/>
                  <w:szCs w:val="24"/>
                </w:rPr>
                <w:fldChar w:fldCharType="separate"/>
              </w:r>
              <w:r w:rsidRPr="008F770C">
                <w:rPr>
                  <w:rFonts w:asciiTheme="minorEastAsia" w:hAnsiTheme="minorEastAsia" w:cstheme="minorEastAsia" w:hint="eastAsia"/>
                  <w:noProof/>
                  <w:color w:val="000000" w:themeColor="text1"/>
                  <w:sz w:val="24"/>
                  <w:szCs w:val="24"/>
                </w:rPr>
                <w:t xml:space="preserve">Brittanie. </w:t>
              </w:r>
              <w:r w:rsidRPr="008F770C">
                <w:rPr>
                  <w:rFonts w:asciiTheme="minorEastAsia" w:hAnsiTheme="minorEastAsia" w:cstheme="minorEastAsia" w:hint="eastAsia"/>
                  <w:i/>
                  <w:iCs/>
                  <w:noProof/>
                  <w:color w:val="000000" w:themeColor="text1"/>
                  <w:sz w:val="24"/>
                  <w:szCs w:val="24"/>
                </w:rPr>
                <w:t>Lowell Mason - the Father of Music Education.</w:t>
              </w:r>
              <w:r w:rsidRPr="008F770C">
                <w:rPr>
                  <w:rFonts w:asciiTheme="minorEastAsia" w:hAnsiTheme="minorEastAsia" w:cstheme="minorEastAsia" w:hint="eastAsia"/>
                  <w:noProof/>
                  <w:color w:val="000000" w:themeColor="text1"/>
                  <w:sz w:val="24"/>
                  <w:szCs w:val="24"/>
                </w:rPr>
                <w:t xml:space="preserve"> 2007. http://www.angelfire.com/ego/cobbist/mason.html (accessed January 21, 2019).</w:t>
              </w:r>
            </w:p>
            <w:p w14:paraId="13D2395B" w14:textId="77777777" w:rsidR="000D1DD7" w:rsidRPr="008F770C" w:rsidRDefault="0045254E" w:rsidP="008F770C">
              <w:pPr>
                <w:pStyle w:val="Bibliography"/>
                <w:spacing w:line="480" w:lineRule="auto"/>
                <w:ind w:left="720" w:hanging="720"/>
                <w:rPr>
                  <w:rFonts w:asciiTheme="minorEastAsia" w:hAnsiTheme="minorEastAsia" w:cstheme="minorEastAsia"/>
                  <w:noProof/>
                  <w:color w:val="000000" w:themeColor="text1"/>
                  <w:sz w:val="24"/>
                  <w:szCs w:val="24"/>
                </w:rPr>
              </w:pPr>
              <w:r w:rsidRPr="008F770C">
                <w:rPr>
                  <w:rFonts w:asciiTheme="minorEastAsia" w:hAnsiTheme="minorEastAsia" w:cstheme="minorEastAsia" w:hint="eastAsia"/>
                  <w:noProof/>
                  <w:color w:val="000000" w:themeColor="text1"/>
                  <w:sz w:val="24"/>
                  <w:szCs w:val="24"/>
                </w:rPr>
                <w:t xml:space="preserve">Cantor Institute. </w:t>
              </w:r>
              <w:r w:rsidRPr="008F770C">
                <w:rPr>
                  <w:rFonts w:asciiTheme="minorEastAsia" w:hAnsiTheme="minorEastAsia" w:cstheme="minorEastAsia" w:hint="eastAsia"/>
                  <w:i/>
                  <w:iCs/>
                  <w:noProof/>
                  <w:color w:val="000000" w:themeColor="text1"/>
                  <w:sz w:val="24"/>
                  <w:szCs w:val="24"/>
                </w:rPr>
                <w:t>Melodies for Psalms.</w:t>
              </w:r>
              <w:r w:rsidRPr="008F770C">
                <w:rPr>
                  <w:rFonts w:asciiTheme="minorEastAsia" w:hAnsiTheme="minorEastAsia" w:cstheme="minorEastAsia" w:hint="eastAsia"/>
                  <w:noProof/>
                  <w:color w:val="000000" w:themeColor="text1"/>
                  <w:sz w:val="24"/>
                  <w:szCs w:val="24"/>
                </w:rPr>
                <w:t xml:space="preserve"> 2006. https://mci.archpitt.org/prostopinije/melodies/Psalm_tones.html (accessed January 21, 2019).</w:t>
              </w:r>
            </w:p>
            <w:p w14:paraId="02EF2204" w14:textId="77777777" w:rsidR="000D1DD7" w:rsidRPr="008F770C" w:rsidRDefault="0045254E" w:rsidP="008F770C">
              <w:pPr>
                <w:pStyle w:val="Bibliography"/>
                <w:spacing w:line="480" w:lineRule="auto"/>
                <w:ind w:left="720" w:hanging="720"/>
                <w:rPr>
                  <w:rFonts w:asciiTheme="minorEastAsia" w:hAnsiTheme="minorEastAsia" w:cstheme="minorEastAsia"/>
                  <w:noProof/>
                  <w:color w:val="000000" w:themeColor="text1"/>
                  <w:sz w:val="24"/>
                  <w:szCs w:val="24"/>
                </w:rPr>
              </w:pPr>
              <w:r w:rsidRPr="008F770C">
                <w:rPr>
                  <w:rFonts w:asciiTheme="minorEastAsia" w:hAnsiTheme="minorEastAsia" w:cstheme="minorEastAsia" w:hint="eastAsia"/>
                  <w:noProof/>
                  <w:color w:val="000000" w:themeColor="text1"/>
                  <w:sz w:val="24"/>
                  <w:szCs w:val="24"/>
                </w:rPr>
                <w:t xml:space="preserve">Temperley, Nicholas. "The Old Way </w:t>
              </w:r>
              <w:r w:rsidRPr="008F770C">
                <w:rPr>
                  <w:rFonts w:asciiTheme="minorEastAsia" w:hAnsiTheme="minorEastAsia" w:cstheme="minorEastAsia" w:hint="eastAsia"/>
                  <w:noProof/>
                  <w:color w:val="000000" w:themeColor="text1"/>
                  <w:sz w:val="24"/>
                  <w:szCs w:val="24"/>
                </w:rPr>
                <w:t xml:space="preserve">of Singing: Its Origins and Development." </w:t>
              </w:r>
              <w:r w:rsidRPr="008F770C">
                <w:rPr>
                  <w:rFonts w:asciiTheme="minorEastAsia" w:hAnsiTheme="minorEastAsia" w:cstheme="minorEastAsia" w:hint="eastAsia"/>
                  <w:i/>
                  <w:iCs/>
                  <w:noProof/>
                  <w:color w:val="000000" w:themeColor="text1"/>
                  <w:sz w:val="24"/>
                  <w:szCs w:val="24"/>
                </w:rPr>
                <w:t>Journal of the American Musicological Society</w:t>
              </w:r>
              <w:r w:rsidRPr="008F770C">
                <w:rPr>
                  <w:rFonts w:asciiTheme="minorEastAsia" w:hAnsiTheme="minorEastAsia" w:cstheme="minorEastAsia" w:hint="eastAsia"/>
                  <w:noProof/>
                  <w:color w:val="000000" w:themeColor="text1"/>
                  <w:sz w:val="24"/>
                  <w:szCs w:val="24"/>
                </w:rPr>
                <w:t xml:space="preserve"> 34, no. 3 (1981): 511-544.</w:t>
              </w:r>
            </w:p>
            <w:p w14:paraId="68C3655F" w14:textId="2AF8B1A5" w:rsidR="000D1DD7" w:rsidRPr="008F770C" w:rsidRDefault="0045254E" w:rsidP="008F770C">
              <w:pPr>
                <w:spacing w:line="480" w:lineRule="auto"/>
                <w:rPr>
                  <w:rFonts w:asciiTheme="minorEastAsia" w:hAnsiTheme="minorEastAsia" w:cstheme="minorEastAsia"/>
                  <w:color w:val="000000" w:themeColor="text1"/>
                  <w:sz w:val="24"/>
                  <w:szCs w:val="24"/>
                </w:rPr>
              </w:pPr>
              <w:r w:rsidRPr="008F770C">
                <w:rPr>
                  <w:rFonts w:asciiTheme="minorEastAsia" w:hAnsiTheme="minorEastAsia" w:cstheme="minorEastAsia" w:hint="eastAsia"/>
                  <w:b/>
                  <w:bCs/>
                  <w:noProof/>
                  <w:color w:val="000000" w:themeColor="text1"/>
                  <w:sz w:val="24"/>
                  <w:szCs w:val="24"/>
                </w:rPr>
                <w:fldChar w:fldCharType="end"/>
              </w:r>
            </w:p>
          </w:sdtContent>
        </w:sdt>
      </w:sdtContent>
    </w:sdt>
    <w:p w14:paraId="524A30C3" w14:textId="77777777" w:rsidR="000D1DD7" w:rsidRPr="008F770C" w:rsidRDefault="000D1DD7" w:rsidP="008F770C">
      <w:pPr>
        <w:spacing w:after="0" w:line="480" w:lineRule="auto"/>
        <w:ind w:firstLine="720"/>
        <w:rPr>
          <w:rFonts w:asciiTheme="minorEastAsia" w:hAnsiTheme="minorEastAsia" w:cstheme="minorEastAsia"/>
          <w:color w:val="000000" w:themeColor="text1"/>
          <w:sz w:val="24"/>
          <w:szCs w:val="24"/>
        </w:rPr>
      </w:pPr>
    </w:p>
    <w:p w14:paraId="4CD8D673" w14:textId="429A6B54" w:rsidR="001E5025" w:rsidRPr="001E5025" w:rsidRDefault="001E5025" w:rsidP="008F770C">
      <w:pPr>
        <w:spacing w:after="0" w:line="480" w:lineRule="auto"/>
        <w:rPr>
          <w:rFonts w:asciiTheme="minorEastAsia" w:hAnsiTheme="minorEastAsia" w:cstheme="minorEastAsia"/>
          <w:sz w:val="24"/>
          <w:szCs w:val="24"/>
        </w:rPr>
      </w:pPr>
    </w:p>
    <w:p w14:paraId="25F7CC43" w14:textId="62B23CB4" w:rsidR="009C6602" w:rsidRPr="009C6602" w:rsidRDefault="009C6602" w:rsidP="001E5025">
      <w:pPr>
        <w:spacing w:after="0" w:line="480" w:lineRule="auto"/>
        <w:rPr>
          <w:rFonts w:asciiTheme="minorEastAsia" w:hAnsiTheme="minorEastAsia" w:cstheme="minorEastAsia"/>
          <w:sz w:val="24"/>
          <w:szCs w:val="24"/>
        </w:rPr>
      </w:pPr>
    </w:p>
    <w:p w14:paraId="24A30ED5" w14:textId="1E7CD91F" w:rsidR="009C6602" w:rsidRPr="00142BEE" w:rsidRDefault="009C6602" w:rsidP="00142BEE">
      <w:pPr>
        <w:spacing w:after="0" w:line="480" w:lineRule="auto"/>
        <w:rPr>
          <w:rFonts w:asciiTheme="minorEastAsia" w:hAnsiTheme="minorEastAsia" w:cstheme="minorEastAsia"/>
          <w:sz w:val="24"/>
          <w:szCs w:val="24"/>
        </w:rPr>
      </w:pPr>
    </w:p>
    <w:p w14:paraId="52620523" w14:textId="01ADD92F" w:rsidR="00A32F79" w:rsidRPr="00A32F79" w:rsidRDefault="00A32F79" w:rsidP="00A32F79">
      <w:pPr>
        <w:spacing w:after="0" w:line="480" w:lineRule="auto"/>
        <w:rPr>
          <w:rFonts w:asciiTheme="minorEastAsia" w:hAnsiTheme="minorEastAsia" w:cstheme="minorEastAsia"/>
          <w:sz w:val="24"/>
          <w:szCs w:val="24"/>
        </w:rPr>
      </w:pPr>
    </w:p>
    <w:p w14:paraId="73EE53B0" w14:textId="190D6BB8" w:rsidR="00A32F79" w:rsidRPr="00EB10FD" w:rsidRDefault="00A32F79" w:rsidP="004F5DB2">
      <w:pPr>
        <w:spacing w:after="0" w:line="480" w:lineRule="auto"/>
        <w:rPr>
          <w:rFonts w:asciiTheme="minorEastAsia" w:hAnsiTheme="minorEastAsia" w:cstheme="minorEastAsia"/>
          <w:sz w:val="24"/>
          <w:szCs w:val="24"/>
        </w:rPr>
      </w:pPr>
    </w:p>
    <w:p w14:paraId="7A82A70E" w14:textId="7B2FB93E" w:rsidR="00CF66C1" w:rsidRPr="00CF66C1" w:rsidRDefault="00CF66C1" w:rsidP="00CF66C1">
      <w:pPr>
        <w:spacing w:line="480" w:lineRule="auto"/>
        <w:rPr>
          <w:rFonts w:asciiTheme="minorEastAsia" w:hAnsiTheme="minorEastAsia" w:cstheme="minorEastAsia"/>
          <w:sz w:val="24"/>
          <w:szCs w:val="24"/>
        </w:rPr>
      </w:pPr>
    </w:p>
    <w:p w14:paraId="7735D041" w14:textId="347B042D" w:rsidR="001E5A28" w:rsidRPr="00AA0B78" w:rsidRDefault="001E5A28" w:rsidP="00FC79F8">
      <w:pPr>
        <w:spacing w:line="480" w:lineRule="auto"/>
        <w:rPr>
          <w:rFonts w:asciiTheme="minorEastAsia" w:hAnsiTheme="minorEastAsia" w:cstheme="minorEastAsia"/>
          <w:sz w:val="24"/>
          <w:szCs w:val="24"/>
        </w:rPr>
      </w:pPr>
    </w:p>
    <w:p w14:paraId="6EA81C20" w14:textId="77777777" w:rsidR="00537ABE" w:rsidRPr="00A73599" w:rsidRDefault="00537ABE" w:rsidP="00135644">
      <w:pPr>
        <w:spacing w:after="0" w:line="480" w:lineRule="auto"/>
        <w:jc w:val="center"/>
        <w:rPr>
          <w:rFonts w:asciiTheme="minorEastAsia" w:hAnsiTheme="minorEastAsia" w:cstheme="minorEastAsia"/>
          <w:sz w:val="24"/>
          <w:szCs w:val="24"/>
        </w:rPr>
      </w:pPr>
    </w:p>
    <w:sectPr w:rsidR="00537ABE" w:rsidRPr="00A7359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7AB6B" w14:textId="77777777" w:rsidR="0045254E" w:rsidRDefault="0045254E">
      <w:pPr>
        <w:spacing w:after="0" w:line="240" w:lineRule="auto"/>
      </w:pPr>
      <w:r>
        <w:separator/>
      </w:r>
    </w:p>
  </w:endnote>
  <w:endnote w:type="continuationSeparator" w:id="0">
    <w:p w14:paraId="739B20D0" w14:textId="77777777" w:rsidR="0045254E" w:rsidRDefault="0045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18FCE" w14:textId="77777777" w:rsidR="0045254E" w:rsidRDefault="0045254E">
      <w:pPr>
        <w:spacing w:after="0" w:line="240" w:lineRule="auto"/>
      </w:pPr>
      <w:r>
        <w:separator/>
      </w:r>
    </w:p>
  </w:footnote>
  <w:footnote w:type="continuationSeparator" w:id="0">
    <w:p w14:paraId="2CBBD656" w14:textId="77777777" w:rsidR="0045254E" w:rsidRDefault="0045254E">
      <w:pPr>
        <w:spacing w:after="0" w:line="240" w:lineRule="auto"/>
      </w:pPr>
      <w:r>
        <w:continuationSeparator/>
      </w:r>
    </w:p>
  </w:footnote>
  <w:footnote w:id="1">
    <w:p w14:paraId="198F2D3C" w14:textId="094D002C" w:rsidR="008C63C4" w:rsidRDefault="008C63C4">
      <w:pPr>
        <w:pStyle w:val="FootnoteText"/>
        <w:rPr>
          <w:rFonts w:asciiTheme="minorEastAsia" w:hAnsiTheme="minorEastAsia" w:cstheme="minorEastAsia"/>
          <w:noProof/>
          <w:color w:val="000000" w:themeColor="text1"/>
          <w:sz w:val="21"/>
          <w:szCs w:val="21"/>
        </w:rPr>
      </w:pPr>
      <w:r>
        <w:rPr>
          <w:rStyle w:val="FootnoteReference"/>
        </w:rPr>
        <w:footnoteRef/>
      </w:r>
      <w:r>
        <w:t xml:space="preserve"> </w:t>
      </w:r>
      <w:r w:rsidRPr="008C63C4">
        <w:rPr>
          <w:rFonts w:asciiTheme="minorEastAsia" w:hAnsiTheme="minorEastAsia" w:cstheme="minorEastAsia" w:hint="eastAsia"/>
          <w:noProof/>
          <w:color w:val="000000" w:themeColor="text1"/>
          <w:sz w:val="21"/>
          <w:szCs w:val="21"/>
        </w:rPr>
        <w:t xml:space="preserve">Temperley, Nicholas. "The Old Way of Singing: Its Origins and Development." </w:t>
      </w:r>
      <w:r w:rsidRPr="008C63C4">
        <w:rPr>
          <w:rFonts w:asciiTheme="minorEastAsia" w:hAnsiTheme="minorEastAsia" w:cstheme="minorEastAsia" w:hint="eastAsia"/>
          <w:i/>
          <w:iCs/>
          <w:noProof/>
          <w:color w:val="000000" w:themeColor="text1"/>
          <w:sz w:val="21"/>
          <w:szCs w:val="21"/>
        </w:rPr>
        <w:t>Journal of the American Musicological Society</w:t>
      </w:r>
      <w:r w:rsidRPr="008C63C4">
        <w:rPr>
          <w:rFonts w:asciiTheme="minorEastAsia" w:hAnsiTheme="minorEastAsia" w:cstheme="minorEastAsia" w:hint="eastAsia"/>
          <w:noProof/>
          <w:color w:val="000000" w:themeColor="text1"/>
          <w:sz w:val="21"/>
          <w:szCs w:val="21"/>
        </w:rPr>
        <w:t xml:space="preserve"> 34, no. 3 (1981): 511-544.</w:t>
      </w:r>
    </w:p>
    <w:p w14:paraId="5FDBE911" w14:textId="77777777" w:rsidR="008C63C4" w:rsidRDefault="008C63C4">
      <w:pPr>
        <w:pStyle w:val="FootnoteText"/>
      </w:pPr>
    </w:p>
  </w:footnote>
  <w:footnote w:id="2">
    <w:p w14:paraId="29427019" w14:textId="4A19EE68" w:rsidR="008C63C4" w:rsidRPr="008C63C4" w:rsidRDefault="008C63C4" w:rsidP="008C63C4">
      <w:pPr>
        <w:pStyle w:val="Bibliography"/>
        <w:spacing w:line="240" w:lineRule="auto"/>
        <w:ind w:left="720" w:hanging="720"/>
        <w:rPr>
          <w:rFonts w:asciiTheme="minorEastAsia" w:hAnsiTheme="minorEastAsia" w:cstheme="minorEastAsia"/>
          <w:noProof/>
          <w:color w:val="000000" w:themeColor="text1"/>
          <w:sz w:val="21"/>
          <w:szCs w:val="21"/>
        </w:rPr>
      </w:pPr>
      <w:r>
        <w:rPr>
          <w:rStyle w:val="FootnoteReference"/>
        </w:rPr>
        <w:footnoteRef/>
      </w:r>
      <w:r>
        <w:t xml:space="preserve"> </w:t>
      </w:r>
      <w:r>
        <w:rPr>
          <w:rFonts w:asciiTheme="minorEastAsia" w:hAnsiTheme="minorEastAsia" w:cstheme="minorEastAsia"/>
          <w:noProof/>
          <w:color w:val="000000" w:themeColor="text1"/>
          <w:sz w:val="21"/>
          <w:szCs w:val="21"/>
        </w:rPr>
        <w:t>Ibid.</w:t>
      </w:r>
    </w:p>
  </w:footnote>
  <w:footnote w:id="3">
    <w:p w14:paraId="74F80E77" w14:textId="1BE3873C" w:rsidR="008C63C4" w:rsidRPr="008C63C4" w:rsidRDefault="008C63C4" w:rsidP="008C63C4">
      <w:pPr>
        <w:pStyle w:val="Bibliography"/>
        <w:spacing w:line="240" w:lineRule="auto"/>
        <w:ind w:left="720" w:hanging="720"/>
        <w:rPr>
          <w:rFonts w:asciiTheme="minorEastAsia" w:hAnsiTheme="minorEastAsia" w:cstheme="minorEastAsia"/>
          <w:noProof/>
          <w:color w:val="000000" w:themeColor="text1"/>
          <w:sz w:val="24"/>
          <w:szCs w:val="24"/>
        </w:rPr>
      </w:pPr>
      <w:r>
        <w:rPr>
          <w:rStyle w:val="FootnoteReference"/>
        </w:rPr>
        <w:footnoteRef/>
      </w:r>
      <w:r>
        <w:t xml:space="preserve"> </w:t>
      </w:r>
      <w:r w:rsidRPr="008C63C4">
        <w:rPr>
          <w:rFonts w:asciiTheme="minorEastAsia" w:hAnsiTheme="minorEastAsia" w:cstheme="minorEastAsia" w:hint="eastAsia"/>
          <w:noProof/>
          <w:color w:val="000000" w:themeColor="text1"/>
          <w:sz w:val="21"/>
          <w:szCs w:val="21"/>
        </w:rPr>
        <w:t xml:space="preserve">Cantor Institute. </w:t>
      </w:r>
      <w:r w:rsidRPr="008C63C4">
        <w:rPr>
          <w:rFonts w:asciiTheme="minorEastAsia" w:hAnsiTheme="minorEastAsia" w:cstheme="minorEastAsia" w:hint="eastAsia"/>
          <w:i/>
          <w:iCs/>
          <w:noProof/>
          <w:color w:val="000000" w:themeColor="text1"/>
          <w:sz w:val="21"/>
          <w:szCs w:val="21"/>
        </w:rPr>
        <w:t>Melodies for Psalms.</w:t>
      </w:r>
      <w:r w:rsidRPr="008C63C4">
        <w:rPr>
          <w:rFonts w:asciiTheme="minorEastAsia" w:hAnsiTheme="minorEastAsia" w:cstheme="minorEastAsia" w:hint="eastAsia"/>
          <w:noProof/>
          <w:color w:val="000000" w:themeColor="text1"/>
          <w:sz w:val="21"/>
          <w:szCs w:val="21"/>
        </w:rPr>
        <w:t xml:space="preserve"> 2006. https://mci.archpitt.org/prostopinije/melodies/Psalm_tones.html (accessed January 21, 2019).</w:t>
      </w:r>
    </w:p>
  </w:footnote>
  <w:footnote w:id="4">
    <w:p w14:paraId="6412A2EE" w14:textId="421D6886" w:rsidR="008C63C4" w:rsidRPr="008C63C4" w:rsidRDefault="008C63C4" w:rsidP="008C63C4">
      <w:pPr>
        <w:pStyle w:val="Bibliography"/>
        <w:spacing w:line="240" w:lineRule="auto"/>
        <w:ind w:left="720" w:hanging="720"/>
        <w:rPr>
          <w:rFonts w:asciiTheme="minorEastAsia" w:hAnsiTheme="minorEastAsia" w:cstheme="minorEastAsia"/>
          <w:noProof/>
          <w:color w:val="000000" w:themeColor="text1"/>
          <w:sz w:val="24"/>
          <w:szCs w:val="24"/>
          <w:lang w:eastAsia="zh-CN"/>
        </w:rPr>
      </w:pPr>
      <w:r>
        <w:rPr>
          <w:rStyle w:val="FootnoteReference"/>
        </w:rPr>
        <w:footnoteRef/>
      </w:r>
      <w:r>
        <w:t xml:space="preserve"> </w:t>
      </w:r>
      <w:r w:rsidRPr="008C63C4">
        <w:rPr>
          <w:rFonts w:asciiTheme="minorEastAsia" w:hAnsiTheme="minorEastAsia" w:cstheme="minorEastAsia" w:hint="eastAsia"/>
          <w:noProof/>
          <w:color w:val="000000" w:themeColor="text1"/>
          <w:sz w:val="21"/>
          <w:szCs w:val="21"/>
        </w:rPr>
        <w:t xml:space="preserve">Brittanie. </w:t>
      </w:r>
      <w:r w:rsidRPr="008C63C4">
        <w:rPr>
          <w:rFonts w:asciiTheme="minorEastAsia" w:hAnsiTheme="minorEastAsia" w:cstheme="minorEastAsia" w:hint="eastAsia"/>
          <w:i/>
          <w:iCs/>
          <w:noProof/>
          <w:color w:val="000000" w:themeColor="text1"/>
          <w:sz w:val="21"/>
          <w:szCs w:val="21"/>
        </w:rPr>
        <w:t>Lowell Mason - the Father of Music Education.</w:t>
      </w:r>
      <w:r w:rsidRPr="008C63C4">
        <w:rPr>
          <w:rFonts w:asciiTheme="minorEastAsia" w:hAnsiTheme="minorEastAsia" w:cstheme="minorEastAsia" w:hint="eastAsia"/>
          <w:noProof/>
          <w:color w:val="000000" w:themeColor="text1"/>
          <w:sz w:val="21"/>
          <w:szCs w:val="21"/>
        </w:rPr>
        <w:t xml:space="preserve"> 2007. http://www.angelfire.com/ego/cobbist/mason.html (accessed January 21, 2019).</w:t>
      </w:r>
    </w:p>
  </w:footnote>
  <w:footnote w:id="5">
    <w:p w14:paraId="003E46D6" w14:textId="77777777" w:rsidR="008C63C4" w:rsidRPr="008C63C4" w:rsidRDefault="008C63C4" w:rsidP="008C63C4">
      <w:pPr>
        <w:pStyle w:val="Bibliography"/>
        <w:spacing w:line="240" w:lineRule="auto"/>
        <w:ind w:left="720" w:hanging="720"/>
        <w:rPr>
          <w:rFonts w:asciiTheme="minorEastAsia" w:hAnsiTheme="minorEastAsia" w:cstheme="minorEastAsia"/>
          <w:noProof/>
          <w:color w:val="000000" w:themeColor="text1"/>
          <w:sz w:val="21"/>
          <w:szCs w:val="21"/>
        </w:rPr>
      </w:pPr>
      <w:r>
        <w:rPr>
          <w:rStyle w:val="FootnoteReference"/>
        </w:rPr>
        <w:footnoteRef/>
      </w:r>
      <w:r>
        <w:t xml:space="preserve"> </w:t>
      </w:r>
      <w:r w:rsidRPr="008C63C4">
        <w:rPr>
          <w:rFonts w:asciiTheme="minorEastAsia" w:hAnsiTheme="minorEastAsia" w:cstheme="minorEastAsia" w:hint="eastAsia"/>
          <w:noProof/>
          <w:color w:val="000000" w:themeColor="text1"/>
          <w:sz w:val="21"/>
          <w:szCs w:val="21"/>
        </w:rPr>
        <w:t xml:space="preserve">Temperley, Nicholas. "The Old Way of Singing: Its Origins and Development." </w:t>
      </w:r>
      <w:r w:rsidRPr="008C63C4">
        <w:rPr>
          <w:rFonts w:asciiTheme="minorEastAsia" w:hAnsiTheme="minorEastAsia" w:cstheme="minorEastAsia" w:hint="eastAsia"/>
          <w:i/>
          <w:iCs/>
          <w:noProof/>
          <w:color w:val="000000" w:themeColor="text1"/>
          <w:sz w:val="21"/>
          <w:szCs w:val="21"/>
        </w:rPr>
        <w:t>Journal of the American Musicological Society</w:t>
      </w:r>
      <w:r w:rsidRPr="008C63C4">
        <w:rPr>
          <w:rFonts w:asciiTheme="minorEastAsia" w:hAnsiTheme="minorEastAsia" w:cstheme="minorEastAsia" w:hint="eastAsia"/>
          <w:noProof/>
          <w:color w:val="000000" w:themeColor="text1"/>
          <w:sz w:val="21"/>
          <w:szCs w:val="21"/>
        </w:rPr>
        <w:t xml:space="preserve"> 34, no. 3 (1981): 511-544.</w:t>
      </w:r>
    </w:p>
    <w:p w14:paraId="63109FA2" w14:textId="28B9F023" w:rsidR="008C63C4" w:rsidRDefault="008C63C4">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F0BAF" w14:textId="7A6D6DEC" w:rsidR="005327BF" w:rsidRPr="00267851" w:rsidRDefault="0045254E" w:rsidP="0077618E">
    <w:pPr>
      <w:tabs>
        <w:tab w:val="left" w:pos="9360"/>
      </w:tabs>
      <w:spacing w:after="0" w:line="480" w:lineRule="auto"/>
      <w:jc w:val="right"/>
      <w:rPr>
        <w:rFonts w:ascii="Times New Roman" w:hAnsi="Times New Roman" w:cs="Times New Roman"/>
        <w:sz w:val="24"/>
        <w:szCs w:val="24"/>
      </w:rPr>
    </w:pPr>
    <w:r w:rsidRPr="00B62FB1">
      <w:rPr>
        <w:rFonts w:ascii="Times New Roman" w:hAnsi="Times New Roman" w:cs="Times New Roman"/>
        <w:sz w:val="24"/>
        <w:szCs w:val="24"/>
      </w:rPr>
      <w:t>The Old Way of Singing</w:t>
    </w: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3E3AB9">
      <w:rPr>
        <w:rFonts w:ascii="Times New Roman" w:hAnsi="Times New Roman" w:cs="Times New Roman"/>
        <w:noProof/>
        <w:sz w:val="24"/>
        <w:szCs w:val="24"/>
      </w:rPr>
      <w:t>2</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A331A"/>
    <w:multiLevelType w:val="hybridMultilevel"/>
    <w:tmpl w:val="F5F0B2B6"/>
    <w:lvl w:ilvl="0" w:tplc="90F2155E">
      <w:start w:val="1"/>
      <w:numFmt w:val="decimal"/>
      <w:lvlText w:val="%1."/>
      <w:lvlJc w:val="left"/>
      <w:pPr>
        <w:ind w:left="720" w:hanging="360"/>
      </w:pPr>
    </w:lvl>
    <w:lvl w:ilvl="1" w:tplc="FF8C4ED0" w:tentative="1">
      <w:start w:val="1"/>
      <w:numFmt w:val="lowerLetter"/>
      <w:lvlText w:val="%2."/>
      <w:lvlJc w:val="left"/>
      <w:pPr>
        <w:ind w:left="1440" w:hanging="360"/>
      </w:pPr>
    </w:lvl>
    <w:lvl w:ilvl="2" w:tplc="D012D1D0" w:tentative="1">
      <w:start w:val="1"/>
      <w:numFmt w:val="lowerRoman"/>
      <w:lvlText w:val="%3."/>
      <w:lvlJc w:val="right"/>
      <w:pPr>
        <w:ind w:left="2160" w:hanging="180"/>
      </w:pPr>
    </w:lvl>
    <w:lvl w:ilvl="3" w:tplc="A2DA2198" w:tentative="1">
      <w:start w:val="1"/>
      <w:numFmt w:val="decimal"/>
      <w:lvlText w:val="%4."/>
      <w:lvlJc w:val="left"/>
      <w:pPr>
        <w:ind w:left="2880" w:hanging="360"/>
      </w:pPr>
    </w:lvl>
    <w:lvl w:ilvl="4" w:tplc="0C6E52EE" w:tentative="1">
      <w:start w:val="1"/>
      <w:numFmt w:val="lowerLetter"/>
      <w:lvlText w:val="%5."/>
      <w:lvlJc w:val="left"/>
      <w:pPr>
        <w:ind w:left="3600" w:hanging="360"/>
      </w:pPr>
    </w:lvl>
    <w:lvl w:ilvl="5" w:tplc="071E66E6" w:tentative="1">
      <w:start w:val="1"/>
      <w:numFmt w:val="lowerRoman"/>
      <w:lvlText w:val="%6."/>
      <w:lvlJc w:val="right"/>
      <w:pPr>
        <w:ind w:left="4320" w:hanging="180"/>
      </w:pPr>
    </w:lvl>
    <w:lvl w:ilvl="6" w:tplc="EB50ED12" w:tentative="1">
      <w:start w:val="1"/>
      <w:numFmt w:val="decimal"/>
      <w:lvlText w:val="%7."/>
      <w:lvlJc w:val="left"/>
      <w:pPr>
        <w:ind w:left="5040" w:hanging="360"/>
      </w:pPr>
    </w:lvl>
    <w:lvl w:ilvl="7" w:tplc="74704730" w:tentative="1">
      <w:start w:val="1"/>
      <w:numFmt w:val="lowerLetter"/>
      <w:lvlText w:val="%8."/>
      <w:lvlJc w:val="left"/>
      <w:pPr>
        <w:ind w:left="5760" w:hanging="360"/>
      </w:pPr>
    </w:lvl>
    <w:lvl w:ilvl="8" w:tplc="80B89134" w:tentative="1">
      <w:start w:val="1"/>
      <w:numFmt w:val="lowerRoman"/>
      <w:lvlText w:val="%9."/>
      <w:lvlJc w:val="right"/>
      <w:pPr>
        <w:ind w:left="6480" w:hanging="180"/>
      </w:pPr>
    </w:lvl>
  </w:abstractNum>
  <w:abstractNum w:abstractNumId="1">
    <w:nsid w:val="5FA51264"/>
    <w:multiLevelType w:val="hybridMultilevel"/>
    <w:tmpl w:val="8BE2C9E2"/>
    <w:lvl w:ilvl="0" w:tplc="C8FADA38">
      <w:start w:val="1"/>
      <w:numFmt w:val="decimal"/>
      <w:lvlText w:val="%1."/>
      <w:lvlJc w:val="left"/>
      <w:pPr>
        <w:ind w:left="720" w:hanging="360"/>
      </w:pPr>
    </w:lvl>
    <w:lvl w:ilvl="1" w:tplc="40B6FAC2" w:tentative="1">
      <w:start w:val="1"/>
      <w:numFmt w:val="lowerLetter"/>
      <w:lvlText w:val="%2."/>
      <w:lvlJc w:val="left"/>
      <w:pPr>
        <w:ind w:left="1440" w:hanging="360"/>
      </w:pPr>
    </w:lvl>
    <w:lvl w:ilvl="2" w:tplc="7FBCE4E2" w:tentative="1">
      <w:start w:val="1"/>
      <w:numFmt w:val="lowerRoman"/>
      <w:lvlText w:val="%3."/>
      <w:lvlJc w:val="right"/>
      <w:pPr>
        <w:ind w:left="2160" w:hanging="180"/>
      </w:pPr>
    </w:lvl>
    <w:lvl w:ilvl="3" w:tplc="53D6C172" w:tentative="1">
      <w:start w:val="1"/>
      <w:numFmt w:val="decimal"/>
      <w:lvlText w:val="%4."/>
      <w:lvlJc w:val="left"/>
      <w:pPr>
        <w:ind w:left="2880" w:hanging="360"/>
      </w:pPr>
    </w:lvl>
    <w:lvl w:ilvl="4" w:tplc="CF86BEC4" w:tentative="1">
      <w:start w:val="1"/>
      <w:numFmt w:val="lowerLetter"/>
      <w:lvlText w:val="%5."/>
      <w:lvlJc w:val="left"/>
      <w:pPr>
        <w:ind w:left="3600" w:hanging="360"/>
      </w:pPr>
    </w:lvl>
    <w:lvl w:ilvl="5" w:tplc="EA24FDDC" w:tentative="1">
      <w:start w:val="1"/>
      <w:numFmt w:val="lowerRoman"/>
      <w:lvlText w:val="%6."/>
      <w:lvlJc w:val="right"/>
      <w:pPr>
        <w:ind w:left="4320" w:hanging="180"/>
      </w:pPr>
    </w:lvl>
    <w:lvl w:ilvl="6" w:tplc="7A4E938C" w:tentative="1">
      <w:start w:val="1"/>
      <w:numFmt w:val="decimal"/>
      <w:lvlText w:val="%7."/>
      <w:lvlJc w:val="left"/>
      <w:pPr>
        <w:ind w:left="5040" w:hanging="360"/>
      </w:pPr>
    </w:lvl>
    <w:lvl w:ilvl="7" w:tplc="ED80D460" w:tentative="1">
      <w:start w:val="1"/>
      <w:numFmt w:val="lowerLetter"/>
      <w:lvlText w:val="%8."/>
      <w:lvlJc w:val="left"/>
      <w:pPr>
        <w:ind w:left="5760" w:hanging="360"/>
      </w:pPr>
    </w:lvl>
    <w:lvl w:ilvl="8" w:tplc="058C1F2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24ABE"/>
    <w:rsid w:val="00032513"/>
    <w:rsid w:val="00067C1C"/>
    <w:rsid w:val="00080A00"/>
    <w:rsid w:val="0008177B"/>
    <w:rsid w:val="000D089F"/>
    <w:rsid w:val="000D1DD7"/>
    <w:rsid w:val="000E6EB4"/>
    <w:rsid w:val="00104605"/>
    <w:rsid w:val="00115DF7"/>
    <w:rsid w:val="00125C7B"/>
    <w:rsid w:val="00130778"/>
    <w:rsid w:val="00135644"/>
    <w:rsid w:val="00141074"/>
    <w:rsid w:val="00142BEE"/>
    <w:rsid w:val="00155345"/>
    <w:rsid w:val="0018491D"/>
    <w:rsid w:val="00187C02"/>
    <w:rsid w:val="001A4F5B"/>
    <w:rsid w:val="001E5025"/>
    <w:rsid w:val="001E5A28"/>
    <w:rsid w:val="001F3734"/>
    <w:rsid w:val="002024AF"/>
    <w:rsid w:val="0023736C"/>
    <w:rsid w:val="00256569"/>
    <w:rsid w:val="002609DE"/>
    <w:rsid w:val="00267851"/>
    <w:rsid w:val="002777E7"/>
    <w:rsid w:val="002B746D"/>
    <w:rsid w:val="002C2C84"/>
    <w:rsid w:val="002D0FD5"/>
    <w:rsid w:val="00307F0F"/>
    <w:rsid w:val="0032395B"/>
    <w:rsid w:val="00327F56"/>
    <w:rsid w:val="003D03B5"/>
    <w:rsid w:val="003D597A"/>
    <w:rsid w:val="003E3AB9"/>
    <w:rsid w:val="004020B2"/>
    <w:rsid w:val="00403746"/>
    <w:rsid w:val="0043275B"/>
    <w:rsid w:val="004348DD"/>
    <w:rsid w:val="0045254E"/>
    <w:rsid w:val="00457372"/>
    <w:rsid w:val="00471063"/>
    <w:rsid w:val="00482C1E"/>
    <w:rsid w:val="004D0FB5"/>
    <w:rsid w:val="004E4578"/>
    <w:rsid w:val="004F0D64"/>
    <w:rsid w:val="004F5DB2"/>
    <w:rsid w:val="00507D97"/>
    <w:rsid w:val="005327BF"/>
    <w:rsid w:val="00534BEB"/>
    <w:rsid w:val="00537ABE"/>
    <w:rsid w:val="00541199"/>
    <w:rsid w:val="005478DA"/>
    <w:rsid w:val="00550EFD"/>
    <w:rsid w:val="005A1A77"/>
    <w:rsid w:val="005A1FE3"/>
    <w:rsid w:val="005B734B"/>
    <w:rsid w:val="005C20F1"/>
    <w:rsid w:val="00664E22"/>
    <w:rsid w:val="00672268"/>
    <w:rsid w:val="006D6067"/>
    <w:rsid w:val="00704586"/>
    <w:rsid w:val="00705D65"/>
    <w:rsid w:val="007638FF"/>
    <w:rsid w:val="0077618E"/>
    <w:rsid w:val="0077633B"/>
    <w:rsid w:val="007916F9"/>
    <w:rsid w:val="007B5A75"/>
    <w:rsid w:val="007E752C"/>
    <w:rsid w:val="007F7B79"/>
    <w:rsid w:val="00812A71"/>
    <w:rsid w:val="00870232"/>
    <w:rsid w:val="008A02A7"/>
    <w:rsid w:val="008A5F24"/>
    <w:rsid w:val="008A70C7"/>
    <w:rsid w:val="008B758F"/>
    <w:rsid w:val="008C63C4"/>
    <w:rsid w:val="008D78EE"/>
    <w:rsid w:val="008E2BE9"/>
    <w:rsid w:val="008E7E13"/>
    <w:rsid w:val="008F59FB"/>
    <w:rsid w:val="008F770C"/>
    <w:rsid w:val="00905C2C"/>
    <w:rsid w:val="00961132"/>
    <w:rsid w:val="00991966"/>
    <w:rsid w:val="009C6602"/>
    <w:rsid w:val="009F3812"/>
    <w:rsid w:val="00A32F79"/>
    <w:rsid w:val="00A4374D"/>
    <w:rsid w:val="00A61F80"/>
    <w:rsid w:val="00A67FE4"/>
    <w:rsid w:val="00A73599"/>
    <w:rsid w:val="00AA0B78"/>
    <w:rsid w:val="00B02B72"/>
    <w:rsid w:val="00B17A6C"/>
    <w:rsid w:val="00B23722"/>
    <w:rsid w:val="00B405F9"/>
    <w:rsid w:val="00B62FB1"/>
    <w:rsid w:val="00B73412"/>
    <w:rsid w:val="00B92A3C"/>
    <w:rsid w:val="00BB47FD"/>
    <w:rsid w:val="00BC6300"/>
    <w:rsid w:val="00C05496"/>
    <w:rsid w:val="00C179FE"/>
    <w:rsid w:val="00C21FED"/>
    <w:rsid w:val="00C26025"/>
    <w:rsid w:val="00C40704"/>
    <w:rsid w:val="00C5356B"/>
    <w:rsid w:val="00C74D28"/>
    <w:rsid w:val="00C75C92"/>
    <w:rsid w:val="00C8278A"/>
    <w:rsid w:val="00CA2688"/>
    <w:rsid w:val="00CB62D5"/>
    <w:rsid w:val="00CF0A51"/>
    <w:rsid w:val="00CF66C1"/>
    <w:rsid w:val="00D21508"/>
    <w:rsid w:val="00D44C66"/>
    <w:rsid w:val="00D5076D"/>
    <w:rsid w:val="00D5779E"/>
    <w:rsid w:val="00DE0B6F"/>
    <w:rsid w:val="00E25C3A"/>
    <w:rsid w:val="00EB10FD"/>
    <w:rsid w:val="00EB4176"/>
    <w:rsid w:val="00EE282A"/>
    <w:rsid w:val="00EF0814"/>
    <w:rsid w:val="00EF1641"/>
    <w:rsid w:val="00F268E5"/>
    <w:rsid w:val="00F42017"/>
    <w:rsid w:val="00F554BE"/>
    <w:rsid w:val="00F554C6"/>
    <w:rsid w:val="00F916D7"/>
    <w:rsid w:val="00FC79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55A0505"/>
  <w15:docId w15:val="{39559E45-EE23-458F-8E31-5A9FACE2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rsid w:val="00135644"/>
    <w:rPr>
      <w:sz w:val="20"/>
      <w:szCs w:val="20"/>
    </w:rPr>
  </w:style>
  <w:style w:type="character" w:styleId="FootnoteReference">
    <w:name w:val="footnote reference"/>
    <w:basedOn w:val="DefaultParagraphFont"/>
    <w:uiPriority w:val="99"/>
    <w:unhideWhenUsed/>
    <w:rsid w:val="00135644"/>
    <w:rPr>
      <w:vertAlign w:val="superscript"/>
    </w:rPr>
  </w:style>
  <w:style w:type="paragraph" w:styleId="NormalWeb">
    <w:name w:val="Normal (Web)"/>
    <w:basedOn w:val="Normal"/>
    <w:uiPriority w:val="99"/>
    <w:semiHidden/>
    <w:unhideWhenUsed/>
    <w:rsid w:val="007B5A75"/>
    <w:pPr>
      <w:spacing w:before="100" w:beforeAutospacing="1" w:after="100" w:afterAutospacing="1" w:line="240" w:lineRule="auto"/>
    </w:pPr>
    <w:rPr>
      <w:rFonts w:ascii="Times New Roman" w:hAnsi="Times New Roman" w:cs="Times New Roman"/>
      <w:sz w:val="24"/>
      <w:szCs w:val="24"/>
      <w:lang w:eastAsia="zh-CN"/>
    </w:rPr>
  </w:style>
  <w:style w:type="paragraph" w:styleId="Bibliography">
    <w:name w:val="Bibliography"/>
    <w:basedOn w:val="Normal"/>
    <w:next w:val="Normal"/>
    <w:uiPriority w:val="37"/>
    <w:unhideWhenUsed/>
    <w:rsid w:val="00125C7B"/>
  </w:style>
  <w:style w:type="character" w:styleId="Hyperlink">
    <w:name w:val="Hyperlink"/>
    <w:basedOn w:val="DefaultParagraphFont"/>
    <w:uiPriority w:val="99"/>
    <w:unhideWhenUsed/>
    <w:rsid w:val="00870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Nic81</b:Tag>
    <b:SourceType>JournalArticle</b:SourceType>
    <b:Guid>{85D01010-8FB5-6A45-9D6F-94D2AE63C8B5}</b:Guid>
    <b:Title>The Old Way of Singing: Its Origins and Development</b:Title>
    <b:Year>1981</b:Year>
    <b:Volume>34</b:Volume>
    <b:Pages>511-544</b:Pages>
    <b:Comments>10.2307/831191</b:Comments>
    <b:Author>
      <b:Author>
        <b:NameList>
          <b:Person>
            <b:Last>Temperley</b:Last>
            <b:First>Nicholas</b:First>
          </b:Person>
        </b:NameList>
      </b:Author>
    </b:Author>
    <b:JournalName>Journal of the American Musicological Society</b:JournalName>
    <b:Issue>3</b:Issue>
    <b:RefOrder>3</b:RefOrder>
  </b:Source>
  <b:Source>
    <b:Tag>Can06</b:Tag>
    <b:SourceType>InternetSite</b:SourceType>
    <b:Guid>{D31A880B-B257-0E42-9196-0E534C60C164}</b:Guid>
    <b:Title>Melodies for Psalms</b:Title>
    <b:Year>2006</b:Year>
    <b:Author>
      <b:Author>
        <b:Corporate>Cantor Institute</b:Corporate>
      </b:Author>
    </b:Author>
    <b:InternetSiteTitle>Byzantine Catholic Archeparchy of Pittsburgh</b:InternetSiteTitle>
    <b:URL>https://mci.archpitt.org/prostopinije/melodies/Psalm_tones.html</b:URL>
    <b:YearAccessed>2019</b:YearAccessed>
    <b:MonthAccessed>January</b:MonthAccessed>
    <b:DayAccessed>21</b:DayAccessed>
    <b:RefOrder>1</b:RefOrder>
  </b:Source>
  <b:Source>
    <b:Tag>Bri19</b:Tag>
    <b:SourceType>InternetSite</b:SourceType>
    <b:Guid>{469677F8-BDAD-3647-80E3-91FFDEABB91B}</b:Guid>
    <b:Author>
      <b:Author>
        <b:NameList>
          <b:Person>
            <b:Last>Brittanie</b:Last>
          </b:Person>
        </b:NameList>
      </b:Author>
    </b:Author>
    <b:Title>Lowell Mason - the Father of Music Education</b:Title>
    <b:InternetSiteTitle>Angelfire</b:InternetSiteTitle>
    <b:URL>http://www.angelfire.com/ego/cobbist/mason.html</b:URL>
    <b:YearAccessed>2019</b:YearAccessed>
    <b:MonthAccessed>January</b:MonthAccessed>
    <b:DayAccessed>21</b:DayAccessed>
    <b:Year>2007</b:Year>
    <b:RefOrder>2</b:RefOrder>
  </b:Source>
</b:Sources>
</file>

<file path=customXml/itemProps1.xml><?xml version="1.0" encoding="utf-8"?>
<ds:datastoreItem xmlns:ds="http://schemas.openxmlformats.org/officeDocument/2006/customXml" ds:itemID="{2916E05F-E651-DF44-AF76-62B68BD0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431</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Microsoft Office User</cp:lastModifiedBy>
  <cp:revision>18</cp:revision>
  <dcterms:created xsi:type="dcterms:W3CDTF">2019-01-20T18:49:00Z</dcterms:created>
  <dcterms:modified xsi:type="dcterms:W3CDTF">2019-01-20T23:15:00Z</dcterms:modified>
</cp:coreProperties>
</file>