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9A6" w14:textId="7E2D50C7" w:rsidR="00C63999" w:rsidRPr="000D75B4" w:rsidRDefault="00CE1FB3" w:rsidP="000D75B4">
      <w:pPr>
        <w:pStyle w:val="Title"/>
        <w:rPr>
          <w:color w:val="000000" w:themeColor="text1"/>
        </w:rPr>
      </w:pPr>
      <w:r w:rsidRPr="000D75B4">
        <w:rPr>
          <w:color w:val="000000" w:themeColor="text1"/>
        </w:rPr>
        <w:t xml:space="preserve">Evaluating Developmental Milestones </w:t>
      </w:r>
    </w:p>
    <w:p w14:paraId="40545637" w14:textId="6174FDC8" w:rsidR="00C63999" w:rsidRPr="000D75B4" w:rsidRDefault="00CE1FB3" w:rsidP="000D75B4">
      <w:pPr>
        <w:pStyle w:val="Title2"/>
        <w:rPr>
          <w:color w:val="000000" w:themeColor="text1"/>
        </w:rPr>
      </w:pPr>
      <w:r w:rsidRPr="000D75B4">
        <w:rPr>
          <w:color w:val="000000" w:themeColor="text1"/>
        </w:rPr>
        <w:t xml:space="preserve">Name </w:t>
      </w:r>
    </w:p>
    <w:p w14:paraId="22FE8A33" w14:textId="7E7C5F1B" w:rsidR="00E81978" w:rsidRPr="000D75B4" w:rsidRDefault="00CE1FB3" w:rsidP="000D75B4">
      <w:pPr>
        <w:pStyle w:val="Title2"/>
        <w:rPr>
          <w:color w:val="000000" w:themeColor="text1"/>
        </w:rPr>
      </w:pPr>
      <w:r w:rsidRPr="000D75B4">
        <w:rPr>
          <w:color w:val="000000" w:themeColor="text1"/>
        </w:rPr>
        <w:t>[Institutional Affiliation(s)]</w:t>
      </w:r>
    </w:p>
    <w:p w14:paraId="1A087968" w14:textId="77777777" w:rsidR="00E81978" w:rsidRPr="000D75B4" w:rsidRDefault="00CE1FB3" w:rsidP="000D75B4">
      <w:pPr>
        <w:pStyle w:val="Title"/>
        <w:rPr>
          <w:color w:val="000000" w:themeColor="text1"/>
        </w:rPr>
      </w:pPr>
      <w:r w:rsidRPr="000D75B4">
        <w:rPr>
          <w:color w:val="000000" w:themeColor="text1"/>
        </w:rPr>
        <w:t>Author Note</w:t>
      </w:r>
    </w:p>
    <w:p w14:paraId="221AC589" w14:textId="77777777" w:rsidR="00E81978" w:rsidRPr="000D75B4" w:rsidRDefault="00E81978" w:rsidP="000D75B4">
      <w:pPr>
        <w:rPr>
          <w:color w:val="000000" w:themeColor="text1"/>
        </w:rPr>
      </w:pPr>
    </w:p>
    <w:p w14:paraId="495A1CBD" w14:textId="42F23C47" w:rsidR="00D45BFA" w:rsidRPr="000D75B4" w:rsidRDefault="00CE1FB3" w:rsidP="000D75B4">
      <w:pPr>
        <w:pStyle w:val="Title"/>
        <w:rPr>
          <w:color w:val="000000" w:themeColor="text1"/>
        </w:rPr>
      </w:pPr>
      <w:r w:rsidRPr="000D75B4">
        <w:rPr>
          <w:color w:val="000000" w:themeColor="text1"/>
        </w:rPr>
        <w:t xml:space="preserve"> </w:t>
      </w:r>
    </w:p>
    <w:p w14:paraId="54F777A0" w14:textId="5EFC367C" w:rsidR="00612B3E" w:rsidRPr="000D75B4" w:rsidRDefault="00CE1FB3" w:rsidP="000D75B4">
      <w:pPr>
        <w:pStyle w:val="SectionTitle"/>
        <w:rPr>
          <w:color w:val="000000" w:themeColor="text1"/>
        </w:rPr>
      </w:pPr>
      <w:r w:rsidRPr="000D75B4">
        <w:rPr>
          <w:color w:val="000000" w:themeColor="text1"/>
        </w:rPr>
        <w:lastRenderedPageBreak/>
        <w:t xml:space="preserve">Evaluating Developmental Milestones </w:t>
      </w:r>
    </w:p>
    <w:p w14:paraId="597B5D22" w14:textId="77777777" w:rsidR="000D75B4" w:rsidRPr="000D75B4" w:rsidRDefault="00CE1FB3" w:rsidP="000D75B4">
      <w:pPr>
        <w:pStyle w:val="Heading1"/>
        <w:rPr>
          <w:color w:val="000000" w:themeColor="text1"/>
          <w:lang w:eastAsia="en-US"/>
        </w:rPr>
      </w:pPr>
      <w:r w:rsidRPr="000D75B4">
        <w:rPr>
          <w:color w:val="000000" w:themeColor="text1"/>
        </w:rPr>
        <w:tab/>
        <w:t>Case 1</w:t>
      </w:r>
    </w:p>
    <w:p w14:paraId="6CB0D843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Identification of the specific academic or behavioral concern</w:t>
      </w:r>
    </w:p>
    <w:p w14:paraId="5765664B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Language delay </w:t>
      </w:r>
    </w:p>
    <w:p w14:paraId="68123112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The academic or behavior concern is a delay in a milestone or a learning style preference</w:t>
      </w:r>
    </w:p>
    <w:p w14:paraId="1CF179F9" w14:textId="404DC554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Delay in milestones </w:t>
      </w:r>
      <w:r w:rsidRPr="000D75B4">
        <w:rPr>
          <w:rFonts w:eastAsia="Times New Roman"/>
          <w:color w:val="000000" w:themeColor="text1"/>
        </w:rPr>
        <w:fldChar w:fldCharType="begin"/>
      </w:r>
      <w:r w:rsidRPr="000D75B4">
        <w:rPr>
          <w:rFonts w:eastAsia="Times New Roman"/>
          <w:color w:val="000000" w:themeColor="text1"/>
        </w:rPr>
        <w:instrText xml:space="preserve"> ADDIN ZOTERO_ITEM CSL_CITATION {"citationID":"NS2lmPQz","properties":{"formattedCitation":"(Scharf, Scharf, &amp; Stroustrup, 2016)","plainCitation":"(Scharf, Scharf, &amp; Stroustrup, 2016)","noteIndex":0},"citationItems":[{"id":165,"uris":["http://zotero.org/users/local/Hznayqvz/items/2K39RY22"],"uri":["http://zotero.org/users/local/Hznayqvz/items/2K39RY22"],"itemData":{"id":165,"type":"article-journal","title":"Developmental Milestones.","container-title":"Pediatrics in review","page":"25-37; quiz 38, 47","volume":"37","issue":"1","author":[{"family":"Scharf","given":"Rebecca J."},{"family":"Scharf","given":"Graham J."},{"family":"Stroustrup","given":"Annemarie"}],"issued":{"date-parts":[["2016"]]}}}],"schema":"https://github.com/citation-style-language/schema/raw/master/csl-citation.json"} </w:instrText>
      </w:r>
      <w:r w:rsidRPr="000D75B4">
        <w:rPr>
          <w:rFonts w:eastAsia="Times New Roman"/>
          <w:color w:val="000000" w:themeColor="text1"/>
        </w:rPr>
        <w:fldChar w:fldCharType="separate"/>
      </w:r>
      <w:r w:rsidRPr="000D75B4">
        <w:rPr>
          <w:color w:val="000000" w:themeColor="text1"/>
        </w:rPr>
        <w:t>(Scharf, Scharf, &amp; Stroustrup, 2016)</w:t>
      </w:r>
      <w:r w:rsidRPr="000D75B4">
        <w:rPr>
          <w:rFonts w:eastAsia="Times New Roman"/>
          <w:color w:val="000000" w:themeColor="text1"/>
        </w:rPr>
        <w:fldChar w:fldCharType="end"/>
      </w:r>
      <w:r w:rsidRPr="000D75B4">
        <w:rPr>
          <w:rFonts w:eastAsia="Times New Roman"/>
          <w:color w:val="000000" w:themeColor="text1"/>
        </w:rPr>
        <w:t>.</w:t>
      </w:r>
    </w:p>
    <w:p w14:paraId="76E117A6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Description of two instructional strategies to support the child in the classroom</w:t>
      </w:r>
    </w:p>
    <w:p w14:paraId="0A1BA58A" w14:textId="77777777" w:rsidR="000D75B4" w:rsidRPr="000D75B4" w:rsidRDefault="00CE1FB3" w:rsidP="000D75B4">
      <w:pPr>
        <w:pStyle w:val="ListParagraph"/>
        <w:numPr>
          <w:ilvl w:val="0"/>
          <w:numId w:val="16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>Answer the Billy when he asks questions</w:t>
      </w:r>
    </w:p>
    <w:p w14:paraId="46570AB3" w14:textId="61AA560E" w:rsidR="000D75B4" w:rsidRPr="000D75B4" w:rsidRDefault="00CE1FB3" w:rsidP="000D75B4">
      <w:pPr>
        <w:pStyle w:val="ListParagraph"/>
        <w:numPr>
          <w:ilvl w:val="0"/>
          <w:numId w:val="16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>Talk to Bill often to engage him in communication</w:t>
      </w:r>
    </w:p>
    <w:p w14:paraId="14424368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Explanation of how you could collaborate with other professionals, including specialized experts</w:t>
      </w:r>
    </w:p>
    <w:p w14:paraId="4D20A01B" w14:textId="2F9B8BA8" w:rsidR="000D75B4" w:rsidRPr="000D75B4" w:rsidRDefault="00CE1FB3" w:rsidP="000D75B4">
      <w:pPr>
        <w:shd w:val="clear" w:color="auto" w:fill="FFFFFF"/>
        <w:spacing w:before="225"/>
        <w:ind w:firstLine="720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Language experts or speech therapists can help Bill to adapt skills that can help in speaking. Family and relatives can help engage Bill in communication </w:t>
      </w:r>
      <w:r w:rsidRPr="000D75B4">
        <w:rPr>
          <w:rFonts w:eastAsia="Times New Roman"/>
          <w:color w:val="000000" w:themeColor="text1"/>
        </w:rPr>
        <w:fldChar w:fldCharType="begin"/>
      </w:r>
      <w:r w:rsidRPr="000D75B4">
        <w:rPr>
          <w:rFonts w:eastAsia="Times New Roman"/>
          <w:color w:val="000000" w:themeColor="text1"/>
        </w:rPr>
        <w:instrText xml:space="preserve"> ADDIN ZOTERO_ITEM CSL_CITATION {"citationID":"bobrHXwt","properties":{"formattedCitation":"(Filatova et al., 2017)","plainCitation":"(Filatova et al., 2017)","noteIndex":0},"citationItems":[{"id":164,"uris":["http://zotero.org/users/local/Hznayqvz/items/9PZC3Z94"],"uri":["http://zotero.org/users/local/Hznayqvz/items/9PZC3Z94"],"itemData":{"id":164,"type":"article-journal","title":"Early motor developmental milestones and schizophrenia: a systematic review and meta-analysis","container-title":"Schizophrenia research","page":"13-20","volume":"188","author":[{"family":"Filatova","given":"S."},{"family":"Koivumaa-Honkanen","given":"H."},{"family":"Hirvonen","given":"N."},{"family":"Freeman","given":"A."},{"family":"Ivandic","given":"I."},{"family":"Hurtig","given":"T."},{"family":"Khandaker","given":"G. M."},{"family":"Jones","given":"P. B."},{"family":"Moilanen","given":"K."},{"family":"Miettunen","given":"J."}],"issued":{"date-parts":[["2017"]]}}}],"schema":"https://github.com/citation-style-language/schema/raw/master/csl-citation.json"} </w:instrText>
      </w:r>
      <w:r w:rsidRPr="000D75B4">
        <w:rPr>
          <w:rFonts w:eastAsia="Times New Roman"/>
          <w:color w:val="000000" w:themeColor="text1"/>
        </w:rPr>
        <w:fldChar w:fldCharType="separate"/>
      </w:r>
      <w:r w:rsidRPr="000D75B4">
        <w:rPr>
          <w:color w:val="000000" w:themeColor="text1"/>
        </w:rPr>
        <w:t>(Filatova et al., 2017)</w:t>
      </w:r>
      <w:r w:rsidRPr="000D75B4">
        <w:rPr>
          <w:rFonts w:eastAsia="Times New Roman"/>
          <w:color w:val="000000" w:themeColor="text1"/>
        </w:rPr>
        <w:fldChar w:fldCharType="end"/>
      </w:r>
      <w:r w:rsidRPr="000D75B4">
        <w:rPr>
          <w:rFonts w:eastAsia="Times New Roman"/>
          <w:color w:val="000000" w:themeColor="text1"/>
        </w:rPr>
        <w:t xml:space="preserve">. Parents can play a significant role in understanding child language and speaking. </w:t>
      </w:r>
    </w:p>
    <w:p w14:paraId="77AB15E7" w14:textId="42979C54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Description of two activities families can engage in with their child at home that would support the child’s development</w:t>
      </w:r>
    </w:p>
    <w:p w14:paraId="090A713E" w14:textId="5BCE2731" w:rsidR="000D75B4" w:rsidRPr="000D75B4" w:rsidRDefault="00CE1FB3" w:rsidP="000D75B4">
      <w:pPr>
        <w:pStyle w:val="ListParagraph"/>
        <w:numPr>
          <w:ilvl w:val="0"/>
          <w:numId w:val="21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>Listening to the Bill can help them encourage speak</w:t>
      </w:r>
      <w:r w:rsidR="00B1445F">
        <w:rPr>
          <w:rFonts w:eastAsia="Times New Roman"/>
          <w:color w:val="000000" w:themeColor="text1"/>
        </w:rPr>
        <w:t>ing</w:t>
      </w:r>
      <w:r w:rsidRPr="000D75B4">
        <w:rPr>
          <w:rFonts w:eastAsia="Times New Roman"/>
          <w:color w:val="000000" w:themeColor="text1"/>
        </w:rPr>
        <w:t xml:space="preserve"> at home. Children learn and adapt by seeing and observing their parents </w:t>
      </w:r>
      <w:r w:rsidRPr="000D75B4">
        <w:rPr>
          <w:rFonts w:eastAsia="Times New Roman"/>
          <w:color w:val="000000" w:themeColor="text1"/>
        </w:rPr>
        <w:fldChar w:fldCharType="begin"/>
      </w:r>
      <w:r w:rsidRPr="000D75B4">
        <w:rPr>
          <w:rFonts w:eastAsia="Times New Roman"/>
          <w:color w:val="000000" w:themeColor="text1"/>
        </w:rPr>
        <w:instrText xml:space="preserve"> ADDIN ZOTERO_ITEM CSL_CITATION {"citationID":"5wlh8NKO","properties":{"formattedCitation":"(Scharf et al., 2016)","plainCitation":"(Scharf et al., 2016)","noteIndex":0},"citationItems":[{"id":165,"uris":["http://zotero.org/users/local/Hznayqvz/items/2K39RY22"],"uri":["http://zotero.org/users/local/Hznayqvz/items/2K39RY22"],"itemData":{"id":165,"type":"article-journal","title":"Developmental Milestones.","container-title":"Pediatrics in review","page":"25-37; quiz 38, 47","volume":"37","issue":"1","author":[{"family":"Scharf","given":"Rebecca J."},{"family":"Scharf","given":"Graham J."},{"family":"Stroustrup","given":"Annemarie"}],"issued":{"date-parts":[["2016"]]}}}],"schema":"https://github.com/citation-style-language/schema/raw/master/csl-citation.json"} </w:instrText>
      </w:r>
      <w:r w:rsidRPr="000D75B4">
        <w:rPr>
          <w:rFonts w:eastAsia="Times New Roman"/>
          <w:color w:val="000000" w:themeColor="text1"/>
        </w:rPr>
        <w:fldChar w:fldCharType="separate"/>
      </w:r>
      <w:r w:rsidRPr="000D75B4">
        <w:rPr>
          <w:color w:val="000000" w:themeColor="text1"/>
        </w:rPr>
        <w:t>(Scharf et al., 2016)</w:t>
      </w:r>
      <w:r w:rsidRPr="000D75B4">
        <w:rPr>
          <w:rFonts w:eastAsia="Times New Roman"/>
          <w:color w:val="000000" w:themeColor="text1"/>
        </w:rPr>
        <w:fldChar w:fldCharType="end"/>
      </w:r>
      <w:r w:rsidRPr="000D75B4">
        <w:rPr>
          <w:rFonts w:eastAsia="Times New Roman"/>
          <w:color w:val="000000" w:themeColor="text1"/>
        </w:rPr>
        <w:t xml:space="preserve">. </w:t>
      </w:r>
    </w:p>
    <w:p w14:paraId="797446E9" w14:textId="70A718C9" w:rsidR="000D75B4" w:rsidRPr="000D75B4" w:rsidRDefault="00CE1FB3" w:rsidP="000D75B4">
      <w:pPr>
        <w:pStyle w:val="ListParagraph"/>
        <w:numPr>
          <w:ilvl w:val="0"/>
          <w:numId w:val="21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>Sing to the Bill and talk to him at home can help them improve their language skills.</w:t>
      </w:r>
    </w:p>
    <w:p w14:paraId="7CD14C8E" w14:textId="77777777" w:rsidR="000D75B4" w:rsidRPr="000D75B4" w:rsidRDefault="000D75B4" w:rsidP="000D75B4">
      <w:pPr>
        <w:shd w:val="clear" w:color="auto" w:fill="FFFFFF"/>
        <w:spacing w:before="225"/>
        <w:rPr>
          <w:rFonts w:eastAsia="Times New Roman"/>
          <w:color w:val="000000" w:themeColor="text1"/>
        </w:rPr>
      </w:pPr>
    </w:p>
    <w:p w14:paraId="0472E3CB" w14:textId="56053708" w:rsidR="000D75B4" w:rsidRPr="000D75B4" w:rsidRDefault="00CE1FB3" w:rsidP="000D75B4">
      <w:pPr>
        <w:shd w:val="clear" w:color="auto" w:fill="FFFFFF"/>
        <w:spacing w:after="150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Description of how and when you will be communicating the student’s progress with the family</w:t>
      </w:r>
    </w:p>
    <w:p w14:paraId="46998E21" w14:textId="1ACAD290" w:rsidR="000D75B4" w:rsidRPr="000D75B4" w:rsidRDefault="00CE1FB3" w:rsidP="000D75B4">
      <w:pPr>
        <w:shd w:val="clear" w:color="auto" w:fill="FFFFFF"/>
        <w:spacing w:after="150"/>
        <w:ind w:firstLine="720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>Speak</w:t>
      </w:r>
      <w:r w:rsidR="00134E3F">
        <w:rPr>
          <w:rFonts w:eastAsia="Times New Roman"/>
          <w:color w:val="000000" w:themeColor="text1"/>
        </w:rPr>
        <w:t>ing with the</w:t>
      </w:r>
      <w:r w:rsidRPr="000D75B4">
        <w:rPr>
          <w:rFonts w:eastAsia="Times New Roman"/>
          <w:color w:val="000000" w:themeColor="text1"/>
        </w:rPr>
        <w:t xml:space="preserve"> child from an early age can help him to learn language </w:t>
      </w:r>
      <w:r w:rsidRPr="000D75B4">
        <w:rPr>
          <w:rFonts w:eastAsia="Times New Roman"/>
          <w:color w:val="000000" w:themeColor="text1"/>
        </w:rPr>
        <w:fldChar w:fldCharType="begin"/>
      </w:r>
      <w:r w:rsidRPr="000D75B4">
        <w:rPr>
          <w:rFonts w:eastAsia="Times New Roman"/>
          <w:color w:val="000000" w:themeColor="text1"/>
        </w:rPr>
        <w:instrText xml:space="preserve"> ADDIN ZOTERO_ITEM CSL_CITATION {"citationID":"7cq4z7wv","properties":{"formattedCitation":"(Scharf et al., 2016)","plainCitation":"(Scharf et al., 2016)","noteIndex":0},"citationItems":[{"id":165,"uris":["http://zotero.org/users/local/Hznayqvz/items/2K39RY22"],"uri":["http://zotero.org/users/local/Hznayqvz/items/2K39RY22"],"itemData":{"id":165,"type":"article-journal","title":"Developmental Milestones.","container-title":"Pediatrics in review","page":"25-37; quiz 38, 47","volume":"37","issue":"1","author":[{"family":"Scharf","given":"Rebecca J."},{"family":"Scharf","given":"Graham J."},{"family":"Stroustrup","given":"Annemarie"}],"issued":{"date-parts":[["2016"]]}}}],"schema":"https://github.com/citation-style-language/schema/raw/master/csl-citation.json"} </w:instrText>
      </w:r>
      <w:r w:rsidRPr="000D75B4">
        <w:rPr>
          <w:rFonts w:eastAsia="Times New Roman"/>
          <w:color w:val="000000" w:themeColor="text1"/>
        </w:rPr>
        <w:fldChar w:fldCharType="separate"/>
      </w:r>
      <w:r w:rsidRPr="000D75B4">
        <w:rPr>
          <w:color w:val="000000" w:themeColor="text1"/>
        </w:rPr>
        <w:t>(Scharf et al., 2016)</w:t>
      </w:r>
      <w:r w:rsidRPr="000D75B4">
        <w:rPr>
          <w:rFonts w:eastAsia="Times New Roman"/>
          <w:color w:val="000000" w:themeColor="text1"/>
        </w:rPr>
        <w:fldChar w:fldCharType="end"/>
      </w:r>
      <w:r w:rsidRPr="000D75B4">
        <w:rPr>
          <w:rFonts w:eastAsia="Times New Roman"/>
          <w:color w:val="000000" w:themeColor="text1"/>
        </w:rPr>
        <w:t xml:space="preserve">. Listening and singing to the children can help them encourage their ability to learn language. </w:t>
      </w:r>
    </w:p>
    <w:p w14:paraId="0BEE6859" w14:textId="77777777" w:rsidR="000D75B4" w:rsidRPr="000D75B4" w:rsidRDefault="00CE1FB3" w:rsidP="000D75B4">
      <w:pPr>
        <w:pStyle w:val="Heading1"/>
        <w:rPr>
          <w:color w:val="000000" w:themeColor="text1"/>
        </w:rPr>
      </w:pPr>
      <w:r w:rsidRPr="000D75B4">
        <w:rPr>
          <w:color w:val="000000" w:themeColor="text1"/>
        </w:rPr>
        <w:t>Case 2</w:t>
      </w:r>
    </w:p>
    <w:p w14:paraId="5425E86F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Identification of the specific academic or behavioral concern</w:t>
      </w:r>
    </w:p>
    <w:p w14:paraId="4D52DCD0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Socialization </w:t>
      </w:r>
    </w:p>
    <w:p w14:paraId="7EEE0661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The academic or behavior concern is a delay in a milestone or a learning style preference</w:t>
      </w:r>
    </w:p>
    <w:p w14:paraId="0C77A9E2" w14:textId="45392242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Delay in milestone </w:t>
      </w:r>
      <w:r w:rsidRPr="000D75B4">
        <w:rPr>
          <w:rFonts w:eastAsia="Times New Roman"/>
          <w:color w:val="000000" w:themeColor="text1"/>
        </w:rPr>
        <w:fldChar w:fldCharType="begin"/>
      </w:r>
      <w:r w:rsidRPr="000D75B4">
        <w:rPr>
          <w:rFonts w:eastAsia="Times New Roman"/>
          <w:color w:val="000000" w:themeColor="text1"/>
        </w:rPr>
        <w:instrText xml:space="preserve"> ADDIN ZOTERO_ITEM CSL_CITATION {"citationID":"YPFfPMof","properties":{"formattedCitation":"(Filatova et al., 2017)","plainCitation":"(Filatova et al., 2017)","noteIndex":0},"citationItems":[{"id":164,"uris":["http://zotero.org/users/local/Hznayqvz/items/9PZC3Z94"],"uri":["http://zotero.org/users/local/Hznayqvz/items/9PZC3Z94"],"itemData":{"id":164,"type":"article-journal","title":"Early motor developmental milestones and schizophrenia: a systematic review and meta-analysis","container-title":"Schizophrenia research","page":"13-20","volume":"188","author":[{"family":"Filatova","given":"S."},{"family":"Koivumaa-Honkanen","given":"H."},{"family":"Hirvonen","given":"N."},{"family":"Freeman","given":"A."},{"family":"Ivandic","given":"I."},{"family":"Hurtig","given":"T."},{"family":"Khandaker","given":"G. M."},{"family":"Jones","given":"P. B."},{"family":"Moilanen","given":"K."},{"family":"Miettunen","given":"J."}],"issued":{"date-parts":[["2017"]]}}}],"schema":"https://github.com/citation-style-language/schema/raw/master/csl-citation.json"} </w:instrText>
      </w:r>
      <w:r w:rsidRPr="000D75B4">
        <w:rPr>
          <w:rFonts w:eastAsia="Times New Roman"/>
          <w:color w:val="000000" w:themeColor="text1"/>
        </w:rPr>
        <w:fldChar w:fldCharType="separate"/>
      </w:r>
      <w:r w:rsidRPr="000D75B4">
        <w:rPr>
          <w:color w:val="000000" w:themeColor="text1"/>
        </w:rPr>
        <w:t>(Filatova et al., 2017)</w:t>
      </w:r>
      <w:r w:rsidRPr="000D75B4">
        <w:rPr>
          <w:rFonts w:eastAsia="Times New Roman"/>
          <w:color w:val="000000" w:themeColor="text1"/>
        </w:rPr>
        <w:fldChar w:fldCharType="end"/>
      </w:r>
      <w:r w:rsidRPr="000D75B4">
        <w:rPr>
          <w:rFonts w:eastAsia="Times New Roman"/>
          <w:color w:val="000000" w:themeColor="text1"/>
        </w:rPr>
        <w:t>.</w:t>
      </w:r>
    </w:p>
    <w:p w14:paraId="65BCF347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Description of two instructional strategies to support the child in the classroom</w:t>
      </w:r>
    </w:p>
    <w:p w14:paraId="7FC68BA5" w14:textId="77777777" w:rsidR="000D75B4" w:rsidRPr="000D75B4" w:rsidRDefault="00CE1FB3" w:rsidP="000D75B4">
      <w:pPr>
        <w:pStyle w:val="ListParagraph"/>
        <w:numPr>
          <w:ilvl w:val="0"/>
          <w:numId w:val="17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Spend time with Jordon </w:t>
      </w:r>
    </w:p>
    <w:p w14:paraId="218F37E4" w14:textId="7EE84760" w:rsidR="000D75B4" w:rsidRPr="000D75B4" w:rsidRDefault="00CE1FB3" w:rsidP="000D75B4">
      <w:pPr>
        <w:pStyle w:val="ListParagraph"/>
        <w:numPr>
          <w:ilvl w:val="0"/>
          <w:numId w:val="17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>Invite his friends and relatives to engage him in social activities</w:t>
      </w:r>
    </w:p>
    <w:p w14:paraId="0E5FE393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Explanation of how you could collaborate with other professionals, including specialized experts</w:t>
      </w:r>
    </w:p>
    <w:p w14:paraId="0FAA254B" w14:textId="3B464BD8" w:rsidR="000D75B4" w:rsidRPr="000D75B4" w:rsidRDefault="00CE1FB3" w:rsidP="000D75B4">
      <w:pPr>
        <w:shd w:val="clear" w:color="auto" w:fill="FFFFFF"/>
        <w:spacing w:before="225"/>
        <w:ind w:firstLine="720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>School teachers and educators can help him adapt socialization. Family members can play a significant role in the social activities of Jordon like engaging him to play with them and share his things with others.</w:t>
      </w:r>
    </w:p>
    <w:p w14:paraId="0D656C24" w14:textId="203A3319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lastRenderedPageBreak/>
        <w:t>Description of two activities families can engage in with their child at home that would support the child’s development</w:t>
      </w:r>
    </w:p>
    <w:p w14:paraId="644005C7" w14:textId="297D25A1" w:rsidR="000D75B4" w:rsidRPr="000D75B4" w:rsidRDefault="00CE1FB3" w:rsidP="000D75B4">
      <w:pPr>
        <w:pStyle w:val="ListParagraph"/>
        <w:numPr>
          <w:ilvl w:val="0"/>
          <w:numId w:val="20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Spending time with Jordon can significantly play an important role in helping him to understand social life </w:t>
      </w:r>
      <w:r w:rsidRPr="000D75B4">
        <w:rPr>
          <w:rFonts w:eastAsia="Times New Roman"/>
          <w:color w:val="000000" w:themeColor="text1"/>
        </w:rPr>
        <w:fldChar w:fldCharType="begin"/>
      </w:r>
      <w:r w:rsidRPr="000D75B4">
        <w:rPr>
          <w:rFonts w:eastAsia="Times New Roman"/>
          <w:color w:val="000000" w:themeColor="text1"/>
        </w:rPr>
        <w:instrText xml:space="preserve"> ADDIN ZOTERO_ITEM CSL_CITATION {"citationID":"AHiVgPyy","properties":{"formattedCitation":"(Ghassabian et al., 2016)","plainCitation":"(Ghassabian et al., 2016)","noteIndex":0},"citationItems":[{"id":166,"uris":["http://zotero.org/users/local/Hznayqvz/items/53PKHURD"],"uri":["http://zotero.org/users/local/Hznayqvz/items/53PKHURD"],"itemData":{"id":166,"type":"article-journal","title":"Gross motor milestones and subsequent development","container-title":"Pediatrics","page":"e20154372","volume":"138","issue":"1","author":[{"family":"Ghassabian","given":"Akhgar"},{"family":"Sundaram","given":"Rajeshwari"},{"family":"Bell","given":"Erin"},{"family":"Bello","given":"Scott C."},{"family":"Kus","given":"Christopher"},{"family":"Yeung","given":"Edwina"}],"issued":{"date-parts":[["2016"]]}}}],"schema":"https://github.com/citation-style-language/schema/raw/master/csl-citation.json"} </w:instrText>
      </w:r>
      <w:r w:rsidRPr="000D75B4">
        <w:rPr>
          <w:rFonts w:eastAsia="Times New Roman"/>
          <w:color w:val="000000" w:themeColor="text1"/>
        </w:rPr>
        <w:fldChar w:fldCharType="separate"/>
      </w:r>
      <w:r w:rsidRPr="000D75B4">
        <w:rPr>
          <w:color w:val="000000" w:themeColor="text1"/>
        </w:rPr>
        <w:t>(Ghassabian et al., 2016)</w:t>
      </w:r>
      <w:r w:rsidRPr="000D75B4">
        <w:rPr>
          <w:rFonts w:eastAsia="Times New Roman"/>
          <w:color w:val="000000" w:themeColor="text1"/>
        </w:rPr>
        <w:fldChar w:fldCharType="end"/>
      </w:r>
      <w:r w:rsidRPr="000D75B4">
        <w:rPr>
          <w:rFonts w:eastAsia="Times New Roman"/>
          <w:color w:val="000000" w:themeColor="text1"/>
        </w:rPr>
        <w:t xml:space="preserve">. </w:t>
      </w:r>
    </w:p>
    <w:p w14:paraId="19D65AEF" w14:textId="53A6C2C0" w:rsidR="000D75B4" w:rsidRPr="000D75B4" w:rsidRDefault="00CE1FB3" w:rsidP="000D75B4">
      <w:pPr>
        <w:pStyle w:val="ListParagraph"/>
        <w:numPr>
          <w:ilvl w:val="0"/>
          <w:numId w:val="20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Inviting friends and family members to enjoy free time or party time would help him to engage himself in socialization </w:t>
      </w:r>
      <w:r w:rsidRPr="000D75B4">
        <w:rPr>
          <w:rFonts w:eastAsia="Times New Roman"/>
          <w:color w:val="000000" w:themeColor="text1"/>
        </w:rPr>
        <w:fldChar w:fldCharType="begin"/>
      </w:r>
      <w:r w:rsidRPr="000D75B4">
        <w:rPr>
          <w:rFonts w:eastAsia="Times New Roman"/>
          <w:color w:val="000000" w:themeColor="text1"/>
        </w:rPr>
        <w:instrText xml:space="preserve"> ADDIN ZOTERO_ITEM CSL_CITATION {"citationID":"6hzJS0la","properties":{"formattedCitation":"(Scharf et al., 2016)","plainCitation":"(Scharf et al., 2016)","noteIndex":0},"citationItems":[{"id":165,"uris":["http://zotero.org/users/local/Hznayqvz/items/2K39RY22"],"uri":["http://zotero.org/users/local/Hznayqvz/items/2K39RY22"],"itemData":{"id":165,"type":"article-journal","title":"Developmental Milestones.","container-title":"Pediatrics in review","page":"25-37; quiz 38, 47","volume":"37","issue":"1","author":[{"family":"Scharf","given":"Rebecca J."},{"family":"Scharf","given":"Graham J."},{"family":"Stroustrup","given":"Annemarie"}],"issued":{"date-parts":[["2016"]]}}}],"schema":"https://github.com/citation-style-language/schema/raw/master/csl-citation.json"} </w:instrText>
      </w:r>
      <w:r w:rsidRPr="000D75B4">
        <w:rPr>
          <w:rFonts w:eastAsia="Times New Roman"/>
          <w:color w:val="000000" w:themeColor="text1"/>
        </w:rPr>
        <w:fldChar w:fldCharType="separate"/>
      </w:r>
      <w:r w:rsidRPr="000D75B4">
        <w:rPr>
          <w:color w:val="000000" w:themeColor="text1"/>
        </w:rPr>
        <w:t>(Scharf et al., 2016)</w:t>
      </w:r>
      <w:r w:rsidRPr="000D75B4">
        <w:rPr>
          <w:rFonts w:eastAsia="Times New Roman"/>
          <w:color w:val="000000" w:themeColor="text1"/>
        </w:rPr>
        <w:fldChar w:fldCharType="end"/>
      </w:r>
      <w:r w:rsidRPr="000D75B4">
        <w:rPr>
          <w:rFonts w:eastAsia="Times New Roman"/>
          <w:color w:val="000000" w:themeColor="text1"/>
        </w:rPr>
        <w:t>.</w:t>
      </w:r>
    </w:p>
    <w:p w14:paraId="4F6B3866" w14:textId="36FB6B1C" w:rsidR="000D75B4" w:rsidRPr="000D75B4" w:rsidRDefault="00CE1FB3" w:rsidP="000D75B4">
      <w:pPr>
        <w:shd w:val="clear" w:color="auto" w:fill="FFFFFF"/>
        <w:spacing w:after="150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Description of how and when you will be communicating the student’s progress with the family</w:t>
      </w:r>
    </w:p>
    <w:p w14:paraId="6C3F9D44" w14:textId="548A5D49" w:rsidR="000D75B4" w:rsidRPr="000D75B4" w:rsidRDefault="00CE1FB3" w:rsidP="000D75B4">
      <w:pPr>
        <w:shd w:val="clear" w:color="auto" w:fill="FFFFFF"/>
        <w:spacing w:after="150"/>
        <w:ind w:firstLine="720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>Spending time with Jordon from an early age can help him adap</w:t>
      </w:r>
      <w:r w:rsidR="006C256F">
        <w:rPr>
          <w:rFonts w:eastAsia="Times New Roman"/>
          <w:color w:val="000000" w:themeColor="text1"/>
        </w:rPr>
        <w:t>t</w:t>
      </w:r>
      <w:r w:rsidRPr="000D75B4">
        <w:rPr>
          <w:rFonts w:eastAsia="Times New Roman"/>
          <w:color w:val="000000" w:themeColor="text1"/>
        </w:rPr>
        <w:t xml:space="preserve"> socialization. Discussing school activities such as how he spent his day can help him to understand what social life is.</w:t>
      </w:r>
    </w:p>
    <w:p w14:paraId="5F8138C8" w14:textId="77777777" w:rsidR="000D75B4" w:rsidRPr="000D75B4" w:rsidRDefault="00CE1FB3" w:rsidP="000D75B4">
      <w:pPr>
        <w:pStyle w:val="Heading1"/>
        <w:rPr>
          <w:color w:val="000000" w:themeColor="text1"/>
        </w:rPr>
      </w:pPr>
      <w:r w:rsidRPr="000D75B4">
        <w:rPr>
          <w:color w:val="000000" w:themeColor="text1"/>
        </w:rPr>
        <w:t>Case 3</w:t>
      </w:r>
    </w:p>
    <w:p w14:paraId="7B6C2CE4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Identification of the specific academic or behavioral concern</w:t>
      </w:r>
    </w:p>
    <w:p w14:paraId="000317AD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Milestones in mentoring  </w:t>
      </w:r>
    </w:p>
    <w:p w14:paraId="11AFEA3E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The academic or behavior concern is a delay in a milestone or a learning style preference</w:t>
      </w:r>
    </w:p>
    <w:p w14:paraId="24BA0E50" w14:textId="4D9E1663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Delay in milestone </w:t>
      </w:r>
      <w:r w:rsidRPr="000D75B4">
        <w:rPr>
          <w:rFonts w:eastAsia="Times New Roman"/>
          <w:color w:val="000000" w:themeColor="text1"/>
        </w:rPr>
        <w:fldChar w:fldCharType="begin"/>
      </w:r>
      <w:r w:rsidRPr="000D75B4">
        <w:rPr>
          <w:rFonts w:eastAsia="Times New Roman"/>
          <w:color w:val="000000" w:themeColor="text1"/>
        </w:rPr>
        <w:instrText xml:space="preserve"> ADDIN ZOTERO_ITEM CSL_CITATION {"citationID":"ASRkZhNm","properties":{"formattedCitation":"(Filatova et al., 2017)","plainCitation":"(Filatova et al., 2017)","noteIndex":0},"citationItems":[{"id":164,"uris":["http://zotero.org/users/local/Hznayqvz/items/9PZC3Z94"],"uri":["http://zotero.org/users/local/Hznayqvz/items/9PZC3Z94"],"itemData":{"id":164,"type":"article-journal","title":"Early motor developmental milestones and schizophrenia: a systematic review and meta-analysis","container-title":"Schizophrenia research","page":"13-20","volume":"188","author":[{"family":"Filatova","given":"S."},{"family":"Koivumaa-Honkanen","given":"H."},{"family":"Hirvonen","given":"N."},{"family":"Freeman","given":"A."},{"family":"Ivandic","given":"I."},{"family":"Hurtig","given":"T."},{"family":"Khandaker","given":"G. M."},{"family":"Jones","given":"P. B."},{"family":"Moilanen","given":"K."},{"family":"Miettunen","given":"J."}],"issued":{"date-parts":[["2017"]]}}}],"schema":"https://github.com/citation-style-language/schema/raw/master/csl-citation.json"} </w:instrText>
      </w:r>
      <w:r w:rsidRPr="000D75B4">
        <w:rPr>
          <w:rFonts w:eastAsia="Times New Roman"/>
          <w:color w:val="000000" w:themeColor="text1"/>
        </w:rPr>
        <w:fldChar w:fldCharType="separate"/>
      </w:r>
      <w:r w:rsidRPr="000D75B4">
        <w:rPr>
          <w:color w:val="000000" w:themeColor="text1"/>
        </w:rPr>
        <w:t>(Filatova et al., 2017)</w:t>
      </w:r>
      <w:r w:rsidRPr="000D75B4">
        <w:rPr>
          <w:rFonts w:eastAsia="Times New Roman"/>
          <w:color w:val="000000" w:themeColor="text1"/>
        </w:rPr>
        <w:fldChar w:fldCharType="end"/>
      </w:r>
      <w:r w:rsidRPr="000D75B4">
        <w:rPr>
          <w:rFonts w:eastAsia="Times New Roman"/>
          <w:color w:val="000000" w:themeColor="text1"/>
        </w:rPr>
        <w:t xml:space="preserve">. </w:t>
      </w:r>
    </w:p>
    <w:p w14:paraId="10C3E6CC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Description of two instructional strategies to support the child in the classroom</w:t>
      </w:r>
    </w:p>
    <w:p w14:paraId="4F65DDA6" w14:textId="77777777" w:rsidR="000D75B4" w:rsidRPr="000D75B4" w:rsidRDefault="00CE1FB3" w:rsidP="000D75B4">
      <w:pPr>
        <w:pStyle w:val="ListParagraph"/>
        <w:numPr>
          <w:ilvl w:val="0"/>
          <w:numId w:val="19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Spend visits with </w:t>
      </w:r>
      <w:proofErr w:type="spellStart"/>
      <w:r w:rsidRPr="000D75B4">
        <w:rPr>
          <w:rFonts w:eastAsia="Times New Roman"/>
          <w:color w:val="000000" w:themeColor="text1"/>
        </w:rPr>
        <w:t>Rasha</w:t>
      </w:r>
      <w:proofErr w:type="spellEnd"/>
    </w:p>
    <w:p w14:paraId="4679E621" w14:textId="11F517AE" w:rsidR="000D75B4" w:rsidRPr="000D75B4" w:rsidRDefault="00CE1FB3" w:rsidP="000D75B4">
      <w:pPr>
        <w:pStyle w:val="ListParagraph"/>
        <w:numPr>
          <w:ilvl w:val="0"/>
          <w:numId w:val="19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Arrange picnics </w:t>
      </w:r>
    </w:p>
    <w:p w14:paraId="4D7E6328" w14:textId="7777777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lastRenderedPageBreak/>
        <w:t>Explanation of how you could collaborate with other professionals, including specialized experts</w:t>
      </w:r>
    </w:p>
    <w:p w14:paraId="40C3A7C8" w14:textId="6432AB10" w:rsidR="000D75B4" w:rsidRPr="000D75B4" w:rsidRDefault="00CE1FB3" w:rsidP="000D75B4">
      <w:pPr>
        <w:shd w:val="clear" w:color="auto" w:fill="FFFFFF"/>
        <w:spacing w:before="225"/>
        <w:ind w:firstLine="720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Family, teachers, and educators can help her </w:t>
      </w:r>
      <w:bookmarkStart w:id="0" w:name="_GoBack"/>
      <w:r w:rsidRPr="000D75B4">
        <w:rPr>
          <w:rFonts w:eastAsia="Times New Roman"/>
          <w:color w:val="000000" w:themeColor="text1"/>
        </w:rPr>
        <w:t>adapt</w:t>
      </w:r>
      <w:bookmarkEnd w:id="0"/>
      <w:r w:rsidR="006C256F">
        <w:rPr>
          <w:rFonts w:eastAsia="Times New Roman"/>
          <w:color w:val="000000" w:themeColor="text1"/>
        </w:rPr>
        <w:t xml:space="preserve"> </w:t>
      </w:r>
      <w:r w:rsidRPr="000D75B4">
        <w:rPr>
          <w:rFonts w:eastAsia="Times New Roman"/>
          <w:color w:val="000000" w:themeColor="text1"/>
        </w:rPr>
        <w:t xml:space="preserve">milestone mentoring. Family members can play a significant role in visiting with her to perform activities outside like parties, picnics. Families and teachers can engage her to visit outside areas. </w:t>
      </w:r>
    </w:p>
    <w:p w14:paraId="57832907" w14:textId="25469557" w:rsidR="000D75B4" w:rsidRPr="000D75B4" w:rsidRDefault="00CE1FB3" w:rsidP="000D75B4">
      <w:pPr>
        <w:shd w:val="clear" w:color="auto" w:fill="FFFFFF"/>
        <w:spacing w:before="225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Description of two activities families can engage in with their child at home that would support the child’s development</w:t>
      </w:r>
    </w:p>
    <w:p w14:paraId="36B2861E" w14:textId="591A61EF" w:rsidR="000D75B4" w:rsidRPr="000D75B4" w:rsidRDefault="00CE1FB3" w:rsidP="000D75B4">
      <w:pPr>
        <w:pStyle w:val="ListParagraph"/>
        <w:numPr>
          <w:ilvl w:val="0"/>
          <w:numId w:val="18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Spending visits with </w:t>
      </w:r>
      <w:proofErr w:type="spellStart"/>
      <w:r w:rsidRPr="000D75B4">
        <w:rPr>
          <w:rFonts w:eastAsia="Times New Roman"/>
          <w:color w:val="000000" w:themeColor="text1"/>
        </w:rPr>
        <w:t>Rasha</w:t>
      </w:r>
      <w:proofErr w:type="spellEnd"/>
      <w:r w:rsidRPr="000D75B4">
        <w:rPr>
          <w:rFonts w:eastAsia="Times New Roman"/>
          <w:color w:val="000000" w:themeColor="text1"/>
        </w:rPr>
        <w:t xml:space="preserve"> can significantly play an important role in helping her to get confidence. </w:t>
      </w:r>
    </w:p>
    <w:p w14:paraId="3E072FCB" w14:textId="34C144BB" w:rsidR="000D75B4" w:rsidRPr="000D75B4" w:rsidRDefault="00CE1FB3" w:rsidP="000D75B4">
      <w:pPr>
        <w:pStyle w:val="ListParagraph"/>
        <w:numPr>
          <w:ilvl w:val="0"/>
          <w:numId w:val="18"/>
        </w:numPr>
        <w:shd w:val="clear" w:color="auto" w:fill="FFFFFF"/>
        <w:spacing w:before="225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Arrange visits and picnics for her </w:t>
      </w:r>
    </w:p>
    <w:p w14:paraId="79CFEC6F" w14:textId="5F103B9F" w:rsidR="000D75B4" w:rsidRPr="000D75B4" w:rsidRDefault="00CE1FB3" w:rsidP="000D75B4">
      <w:pPr>
        <w:shd w:val="clear" w:color="auto" w:fill="FFFFFF"/>
        <w:spacing w:after="150"/>
        <w:rPr>
          <w:rFonts w:eastAsia="Times New Roman"/>
          <w:b/>
          <w:color w:val="000000" w:themeColor="text1"/>
        </w:rPr>
      </w:pPr>
      <w:r w:rsidRPr="000D75B4">
        <w:rPr>
          <w:rFonts w:eastAsia="Times New Roman"/>
          <w:b/>
          <w:color w:val="000000" w:themeColor="text1"/>
        </w:rPr>
        <w:t>Description of how and when you will be communicating the student’s progress with the family</w:t>
      </w:r>
    </w:p>
    <w:p w14:paraId="38AE5FBA" w14:textId="77777777" w:rsidR="000D75B4" w:rsidRPr="000D75B4" w:rsidRDefault="00CE1FB3" w:rsidP="000D75B4">
      <w:pPr>
        <w:shd w:val="clear" w:color="auto" w:fill="FFFFFF"/>
        <w:spacing w:before="225"/>
        <w:ind w:firstLine="720"/>
        <w:rPr>
          <w:rFonts w:eastAsia="Times New Roman"/>
          <w:color w:val="000000" w:themeColor="text1"/>
        </w:rPr>
      </w:pPr>
      <w:r w:rsidRPr="000D75B4">
        <w:rPr>
          <w:rFonts w:eastAsia="Times New Roman"/>
          <w:color w:val="000000" w:themeColor="text1"/>
        </w:rPr>
        <w:t xml:space="preserve">Observing </w:t>
      </w:r>
      <w:proofErr w:type="spellStart"/>
      <w:r w:rsidRPr="000D75B4">
        <w:rPr>
          <w:rFonts w:eastAsia="Times New Roman"/>
          <w:color w:val="000000" w:themeColor="text1"/>
        </w:rPr>
        <w:t>Rasha</w:t>
      </w:r>
      <w:proofErr w:type="spellEnd"/>
      <w:r w:rsidRPr="000D75B4">
        <w:rPr>
          <w:rFonts w:eastAsia="Times New Roman"/>
          <w:color w:val="000000" w:themeColor="text1"/>
        </w:rPr>
        <w:t xml:space="preserve"> with time such as performing her activities at outside areas can help patents know how well she is adapting mentoring. </w:t>
      </w:r>
    </w:p>
    <w:p w14:paraId="38249A2C" w14:textId="159E9AD2" w:rsidR="00D45BFA" w:rsidRPr="000D75B4" w:rsidRDefault="00CE1FB3" w:rsidP="000D75B4">
      <w:pPr>
        <w:rPr>
          <w:color w:val="000000" w:themeColor="text1"/>
        </w:rPr>
      </w:pPr>
      <w:r w:rsidRPr="000D75B4">
        <w:rPr>
          <w:color w:val="000000" w:themeColor="text1"/>
        </w:rPr>
        <w:br w:type="page"/>
      </w:r>
    </w:p>
    <w:sdt>
      <w:sdtPr>
        <w:rPr>
          <w:b/>
          <w:bCs/>
          <w:color w:val="000000" w:themeColor="text1"/>
          <w:kern w:val="24"/>
        </w:rPr>
        <w:id w:val="-1826895820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14:paraId="283E8F36" w14:textId="4BF8044B" w:rsidR="009D1AE9" w:rsidRPr="000D75B4" w:rsidRDefault="00CE1FB3" w:rsidP="000D75B4">
          <w:pPr>
            <w:jc w:val="center"/>
            <w:rPr>
              <w:b/>
              <w:color w:val="000000" w:themeColor="text1"/>
            </w:rPr>
          </w:pPr>
          <w:r w:rsidRPr="000D75B4">
            <w:rPr>
              <w:b/>
              <w:color w:val="000000" w:themeColor="text1"/>
            </w:rPr>
            <w:t>References</w:t>
          </w:r>
        </w:p>
        <w:sdt>
          <w:sdtPr>
            <w:rPr>
              <w:color w:val="000000" w:themeColor="text1"/>
              <w:kern w:val="0"/>
            </w:rPr>
            <w:id w:val="-573587230"/>
            <w:bibliography/>
          </w:sdtPr>
          <w:sdtEndPr>
            <w:rPr>
              <w:kern w:val="24"/>
            </w:rPr>
          </w:sdtEndPr>
          <w:sdtContent>
            <w:p w14:paraId="21F493A6" w14:textId="77777777" w:rsidR="000D75B4" w:rsidRPr="000D75B4" w:rsidRDefault="00CE1FB3" w:rsidP="000D75B4">
              <w:pPr>
                <w:pStyle w:val="Bibliography"/>
                <w:rPr>
                  <w:color w:val="000000" w:themeColor="text1"/>
                </w:rPr>
              </w:pPr>
              <w:r w:rsidRPr="000D75B4">
                <w:rPr>
                  <w:color w:val="000000" w:themeColor="text1"/>
                </w:rPr>
                <w:fldChar w:fldCharType="begin"/>
              </w:r>
              <w:r w:rsidRPr="000D75B4">
                <w:rPr>
                  <w:color w:val="000000" w:themeColor="text1"/>
                </w:rPr>
                <w:instrText xml:space="preserve"> ADDIN ZOTERO_BIBL {"uncited":[],"omitted":[],"custom":[]} CSL_BIBLIOGRAPHY </w:instrText>
              </w:r>
              <w:r w:rsidRPr="000D75B4">
                <w:rPr>
                  <w:color w:val="000000" w:themeColor="text1"/>
                </w:rPr>
                <w:fldChar w:fldCharType="separate"/>
              </w:r>
              <w:r w:rsidRPr="000D75B4">
                <w:rPr>
                  <w:color w:val="000000" w:themeColor="text1"/>
                </w:rPr>
                <w:t xml:space="preserve">Filatova, S., Koivumaa-Honkanen, H., Hirvonen, N., Freeman, A., Ivandic, I., Hurtig, T., … Miettunen, J. (2017). Early motor developmental milestones and schizophrenia: A systematic review and meta-analysis. </w:t>
              </w:r>
              <w:r w:rsidRPr="000D75B4">
                <w:rPr>
                  <w:i/>
                  <w:iCs/>
                  <w:color w:val="000000" w:themeColor="text1"/>
                </w:rPr>
                <w:t>Schizophrenia Research</w:t>
              </w:r>
              <w:r w:rsidRPr="000D75B4">
                <w:rPr>
                  <w:color w:val="000000" w:themeColor="text1"/>
                </w:rPr>
                <w:t xml:space="preserve">, </w:t>
              </w:r>
              <w:r w:rsidRPr="000D75B4">
                <w:rPr>
                  <w:i/>
                  <w:iCs/>
                  <w:color w:val="000000" w:themeColor="text1"/>
                </w:rPr>
                <w:t>188</w:t>
              </w:r>
              <w:r w:rsidRPr="000D75B4">
                <w:rPr>
                  <w:color w:val="000000" w:themeColor="text1"/>
                </w:rPr>
                <w:t>, 13–20.</w:t>
              </w:r>
            </w:p>
            <w:p w14:paraId="3ED1177A" w14:textId="77777777" w:rsidR="000D75B4" w:rsidRPr="000D75B4" w:rsidRDefault="00CE1FB3" w:rsidP="000D75B4">
              <w:pPr>
                <w:pStyle w:val="Bibliography"/>
                <w:rPr>
                  <w:color w:val="000000" w:themeColor="text1"/>
                </w:rPr>
              </w:pPr>
              <w:r w:rsidRPr="000D75B4">
                <w:rPr>
                  <w:color w:val="000000" w:themeColor="text1"/>
                </w:rPr>
                <w:t xml:space="preserve">Ghassabian, A., Sundaram, R., Bell, E., Bello, S. C., Kus, C., &amp; Yeung, E. (2016). Gross motor milestones and subsequent development. </w:t>
              </w:r>
              <w:r w:rsidRPr="000D75B4">
                <w:rPr>
                  <w:i/>
                  <w:iCs/>
                  <w:color w:val="000000" w:themeColor="text1"/>
                </w:rPr>
                <w:t>Pediatrics</w:t>
              </w:r>
              <w:r w:rsidRPr="000D75B4">
                <w:rPr>
                  <w:color w:val="000000" w:themeColor="text1"/>
                </w:rPr>
                <w:t xml:space="preserve">, </w:t>
              </w:r>
              <w:r w:rsidRPr="000D75B4">
                <w:rPr>
                  <w:i/>
                  <w:iCs/>
                  <w:color w:val="000000" w:themeColor="text1"/>
                </w:rPr>
                <w:t>138</w:t>
              </w:r>
              <w:r w:rsidRPr="000D75B4">
                <w:rPr>
                  <w:color w:val="000000" w:themeColor="text1"/>
                </w:rPr>
                <w:t>(1), e20154372.</w:t>
              </w:r>
            </w:p>
            <w:p w14:paraId="767E8ACB" w14:textId="77777777" w:rsidR="000D75B4" w:rsidRPr="000D75B4" w:rsidRDefault="00CE1FB3" w:rsidP="000D75B4">
              <w:pPr>
                <w:pStyle w:val="Bibliography"/>
                <w:rPr>
                  <w:color w:val="000000" w:themeColor="text1"/>
                </w:rPr>
              </w:pPr>
              <w:r w:rsidRPr="000D75B4">
                <w:rPr>
                  <w:color w:val="000000" w:themeColor="text1"/>
                </w:rPr>
                <w:t xml:space="preserve">Scharf, R. J., Scharf, G. J., &amp; Stroustrup, A. (2016). Developmental Milestones. </w:t>
              </w:r>
              <w:r w:rsidRPr="000D75B4">
                <w:rPr>
                  <w:i/>
                  <w:iCs/>
                  <w:color w:val="000000" w:themeColor="text1"/>
                </w:rPr>
                <w:t>Pediatrics in Review</w:t>
              </w:r>
              <w:r w:rsidRPr="000D75B4">
                <w:rPr>
                  <w:color w:val="000000" w:themeColor="text1"/>
                </w:rPr>
                <w:t xml:space="preserve">, </w:t>
              </w:r>
              <w:r w:rsidRPr="000D75B4">
                <w:rPr>
                  <w:i/>
                  <w:iCs/>
                  <w:color w:val="000000" w:themeColor="text1"/>
                </w:rPr>
                <w:t>37</w:t>
              </w:r>
              <w:r w:rsidRPr="000D75B4">
                <w:rPr>
                  <w:color w:val="000000" w:themeColor="text1"/>
                </w:rPr>
                <w:t>(1), 25–37; quiz 38, 47.</w:t>
              </w:r>
            </w:p>
            <w:p w14:paraId="0308C54A" w14:textId="56325F2A" w:rsidR="009D1AE9" w:rsidRPr="000D75B4" w:rsidRDefault="00CE1FB3" w:rsidP="000D75B4">
              <w:pPr>
                <w:pStyle w:val="Bibliography"/>
                <w:rPr>
                  <w:color w:val="000000" w:themeColor="text1"/>
                </w:rPr>
              </w:pPr>
              <w:r w:rsidRPr="000D75B4">
                <w:rPr>
                  <w:color w:val="000000" w:themeColor="text1"/>
                </w:rPr>
                <w:fldChar w:fldCharType="end"/>
              </w:r>
            </w:p>
          </w:sdtContent>
        </w:sdt>
      </w:sdtContent>
    </w:sdt>
    <w:p w14:paraId="3243EEF7" w14:textId="77777777" w:rsidR="009D1AE9" w:rsidRPr="000D75B4" w:rsidRDefault="009D1AE9" w:rsidP="000D75B4">
      <w:pPr>
        <w:rPr>
          <w:color w:val="000000" w:themeColor="text1"/>
        </w:rPr>
      </w:pPr>
    </w:p>
    <w:p w14:paraId="02B92E43" w14:textId="5CC84844" w:rsidR="009803A6" w:rsidRPr="000D75B4" w:rsidRDefault="009803A6" w:rsidP="000D75B4">
      <w:pPr>
        <w:rPr>
          <w:color w:val="000000" w:themeColor="text1"/>
        </w:rPr>
      </w:pPr>
    </w:p>
    <w:p w14:paraId="2EBD1887" w14:textId="0DA7DA7C" w:rsidR="00BB5D44" w:rsidRPr="000D75B4" w:rsidRDefault="00CE1FB3" w:rsidP="000D75B4">
      <w:pPr>
        <w:rPr>
          <w:color w:val="000000" w:themeColor="text1"/>
        </w:rPr>
      </w:pPr>
      <w:r w:rsidRPr="000D75B4">
        <w:rPr>
          <w:color w:val="000000" w:themeColor="text1"/>
        </w:rPr>
        <w:tab/>
      </w:r>
    </w:p>
    <w:p w14:paraId="74666CB5" w14:textId="186542A2" w:rsidR="00BB5D44" w:rsidRPr="000D75B4" w:rsidRDefault="00CE1FB3" w:rsidP="000D75B4">
      <w:pPr>
        <w:rPr>
          <w:color w:val="000000" w:themeColor="text1"/>
        </w:rPr>
      </w:pPr>
      <w:r w:rsidRPr="000D75B4">
        <w:rPr>
          <w:color w:val="000000" w:themeColor="text1"/>
        </w:rPr>
        <w:tab/>
      </w:r>
    </w:p>
    <w:p w14:paraId="4F569008" w14:textId="77777777" w:rsidR="00C63999" w:rsidRPr="000D75B4" w:rsidRDefault="00C63999" w:rsidP="000D75B4">
      <w:pPr>
        <w:rPr>
          <w:color w:val="000000" w:themeColor="text1"/>
        </w:rPr>
      </w:pPr>
    </w:p>
    <w:sectPr w:rsidR="00C63999" w:rsidRPr="000D75B4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87F1" w14:textId="77777777" w:rsidR="00D147A9" w:rsidRDefault="00D147A9">
      <w:pPr>
        <w:spacing w:line="240" w:lineRule="auto"/>
      </w:pPr>
      <w:r>
        <w:separator/>
      </w:r>
    </w:p>
  </w:endnote>
  <w:endnote w:type="continuationSeparator" w:id="0">
    <w:p w14:paraId="48BBA718" w14:textId="77777777" w:rsidR="00D147A9" w:rsidRDefault="00D14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D150" w14:textId="77777777" w:rsidR="00D147A9" w:rsidRDefault="00D147A9">
      <w:pPr>
        <w:spacing w:line="240" w:lineRule="auto"/>
      </w:pPr>
      <w:r>
        <w:separator/>
      </w:r>
    </w:p>
  </w:footnote>
  <w:footnote w:type="continuationSeparator" w:id="0">
    <w:p w14:paraId="0E89DBDC" w14:textId="77777777" w:rsidR="00D147A9" w:rsidRDefault="00D14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50E" w14:textId="3659CBF8" w:rsidR="00E81978" w:rsidRDefault="00CE1FB3" w:rsidP="004B099C">
    <w:pPr>
      <w:pStyle w:val="Header"/>
    </w:pPr>
    <w:r>
      <w:t xml:space="preserve">ASSIGNMENT </w:t>
    </w:r>
    <w:r w:rsidR="00D45BFA">
      <w:t xml:space="preserve">    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05E5D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A20E" w14:textId="3AD9BD32" w:rsidR="00E81978" w:rsidRDefault="00CE1FB3" w:rsidP="004B099C">
    <w:pPr>
      <w:pStyle w:val="Header"/>
      <w:rPr>
        <w:rStyle w:val="Strong"/>
      </w:rPr>
    </w:pPr>
    <w:r>
      <w:t>Running head:</w:t>
    </w:r>
    <w:r w:rsidR="000D75B4">
      <w:rPr>
        <w:rStyle w:val="Strong"/>
      </w:rPr>
      <w:t xml:space="preserve"> ASSIGNMENT </w:t>
    </w:r>
    <w:r w:rsidR="00D45BFA">
      <w:rPr>
        <w:rStyle w:val="Strong"/>
      </w:rPr>
      <w:t xml:space="preserve">       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05E5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3370CC9"/>
    <w:multiLevelType w:val="hybridMultilevel"/>
    <w:tmpl w:val="D5E08EA4"/>
    <w:lvl w:ilvl="0" w:tplc="D2B29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CA9C20" w:tentative="1">
      <w:start w:val="1"/>
      <w:numFmt w:val="lowerLetter"/>
      <w:lvlText w:val="%2."/>
      <w:lvlJc w:val="left"/>
      <w:pPr>
        <w:ind w:left="1440" w:hanging="360"/>
      </w:pPr>
    </w:lvl>
    <w:lvl w:ilvl="2" w:tplc="24B46E28" w:tentative="1">
      <w:start w:val="1"/>
      <w:numFmt w:val="lowerRoman"/>
      <w:lvlText w:val="%3."/>
      <w:lvlJc w:val="right"/>
      <w:pPr>
        <w:ind w:left="2160" w:hanging="180"/>
      </w:pPr>
    </w:lvl>
    <w:lvl w:ilvl="3" w:tplc="4EB859AE" w:tentative="1">
      <w:start w:val="1"/>
      <w:numFmt w:val="decimal"/>
      <w:lvlText w:val="%4."/>
      <w:lvlJc w:val="left"/>
      <w:pPr>
        <w:ind w:left="2880" w:hanging="360"/>
      </w:pPr>
    </w:lvl>
    <w:lvl w:ilvl="4" w:tplc="D1A440CA" w:tentative="1">
      <w:start w:val="1"/>
      <w:numFmt w:val="lowerLetter"/>
      <w:lvlText w:val="%5."/>
      <w:lvlJc w:val="left"/>
      <w:pPr>
        <w:ind w:left="3600" w:hanging="360"/>
      </w:pPr>
    </w:lvl>
    <w:lvl w:ilvl="5" w:tplc="18D4D8EA" w:tentative="1">
      <w:start w:val="1"/>
      <w:numFmt w:val="lowerRoman"/>
      <w:lvlText w:val="%6."/>
      <w:lvlJc w:val="right"/>
      <w:pPr>
        <w:ind w:left="4320" w:hanging="180"/>
      </w:pPr>
    </w:lvl>
    <w:lvl w:ilvl="6" w:tplc="4AC4C28C" w:tentative="1">
      <w:start w:val="1"/>
      <w:numFmt w:val="decimal"/>
      <w:lvlText w:val="%7."/>
      <w:lvlJc w:val="left"/>
      <w:pPr>
        <w:ind w:left="5040" w:hanging="360"/>
      </w:pPr>
    </w:lvl>
    <w:lvl w:ilvl="7" w:tplc="F9D61EDA" w:tentative="1">
      <w:start w:val="1"/>
      <w:numFmt w:val="lowerLetter"/>
      <w:lvlText w:val="%8."/>
      <w:lvlJc w:val="left"/>
      <w:pPr>
        <w:ind w:left="5760" w:hanging="360"/>
      </w:pPr>
    </w:lvl>
    <w:lvl w:ilvl="8" w:tplc="0B24D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F20D8"/>
    <w:multiLevelType w:val="hybridMultilevel"/>
    <w:tmpl w:val="E88CF07A"/>
    <w:lvl w:ilvl="0" w:tplc="45508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B28F7C" w:tentative="1">
      <w:start w:val="1"/>
      <w:numFmt w:val="lowerLetter"/>
      <w:lvlText w:val="%2."/>
      <w:lvlJc w:val="left"/>
      <w:pPr>
        <w:ind w:left="1440" w:hanging="360"/>
      </w:pPr>
    </w:lvl>
    <w:lvl w:ilvl="2" w:tplc="27B0140C" w:tentative="1">
      <w:start w:val="1"/>
      <w:numFmt w:val="lowerRoman"/>
      <w:lvlText w:val="%3."/>
      <w:lvlJc w:val="right"/>
      <w:pPr>
        <w:ind w:left="2160" w:hanging="180"/>
      </w:pPr>
    </w:lvl>
    <w:lvl w:ilvl="3" w:tplc="81E6C064" w:tentative="1">
      <w:start w:val="1"/>
      <w:numFmt w:val="decimal"/>
      <w:lvlText w:val="%4."/>
      <w:lvlJc w:val="left"/>
      <w:pPr>
        <w:ind w:left="2880" w:hanging="360"/>
      </w:pPr>
    </w:lvl>
    <w:lvl w:ilvl="4" w:tplc="54C0C360" w:tentative="1">
      <w:start w:val="1"/>
      <w:numFmt w:val="lowerLetter"/>
      <w:lvlText w:val="%5."/>
      <w:lvlJc w:val="left"/>
      <w:pPr>
        <w:ind w:left="3600" w:hanging="360"/>
      </w:pPr>
    </w:lvl>
    <w:lvl w:ilvl="5" w:tplc="DEA85396" w:tentative="1">
      <w:start w:val="1"/>
      <w:numFmt w:val="lowerRoman"/>
      <w:lvlText w:val="%6."/>
      <w:lvlJc w:val="right"/>
      <w:pPr>
        <w:ind w:left="4320" w:hanging="180"/>
      </w:pPr>
    </w:lvl>
    <w:lvl w:ilvl="6" w:tplc="FEE40FE8" w:tentative="1">
      <w:start w:val="1"/>
      <w:numFmt w:val="decimal"/>
      <w:lvlText w:val="%7."/>
      <w:lvlJc w:val="left"/>
      <w:pPr>
        <w:ind w:left="5040" w:hanging="360"/>
      </w:pPr>
    </w:lvl>
    <w:lvl w:ilvl="7" w:tplc="B9B4A396" w:tentative="1">
      <w:start w:val="1"/>
      <w:numFmt w:val="lowerLetter"/>
      <w:lvlText w:val="%8."/>
      <w:lvlJc w:val="left"/>
      <w:pPr>
        <w:ind w:left="5760" w:hanging="360"/>
      </w:pPr>
    </w:lvl>
    <w:lvl w:ilvl="8" w:tplc="301CF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24B3"/>
    <w:multiLevelType w:val="hybridMultilevel"/>
    <w:tmpl w:val="307A4446"/>
    <w:lvl w:ilvl="0" w:tplc="F022F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CA5116" w:tentative="1">
      <w:start w:val="1"/>
      <w:numFmt w:val="lowerLetter"/>
      <w:lvlText w:val="%2."/>
      <w:lvlJc w:val="left"/>
      <w:pPr>
        <w:ind w:left="1440" w:hanging="360"/>
      </w:pPr>
    </w:lvl>
    <w:lvl w:ilvl="2" w:tplc="3620B75E" w:tentative="1">
      <w:start w:val="1"/>
      <w:numFmt w:val="lowerRoman"/>
      <w:lvlText w:val="%3."/>
      <w:lvlJc w:val="right"/>
      <w:pPr>
        <w:ind w:left="2160" w:hanging="180"/>
      </w:pPr>
    </w:lvl>
    <w:lvl w:ilvl="3" w:tplc="4A2CC78C" w:tentative="1">
      <w:start w:val="1"/>
      <w:numFmt w:val="decimal"/>
      <w:lvlText w:val="%4."/>
      <w:lvlJc w:val="left"/>
      <w:pPr>
        <w:ind w:left="2880" w:hanging="360"/>
      </w:pPr>
    </w:lvl>
    <w:lvl w:ilvl="4" w:tplc="C72EB30C" w:tentative="1">
      <w:start w:val="1"/>
      <w:numFmt w:val="lowerLetter"/>
      <w:lvlText w:val="%5."/>
      <w:lvlJc w:val="left"/>
      <w:pPr>
        <w:ind w:left="3600" w:hanging="360"/>
      </w:pPr>
    </w:lvl>
    <w:lvl w:ilvl="5" w:tplc="4C0265E0" w:tentative="1">
      <w:start w:val="1"/>
      <w:numFmt w:val="lowerRoman"/>
      <w:lvlText w:val="%6."/>
      <w:lvlJc w:val="right"/>
      <w:pPr>
        <w:ind w:left="4320" w:hanging="180"/>
      </w:pPr>
    </w:lvl>
    <w:lvl w:ilvl="6" w:tplc="A762E590" w:tentative="1">
      <w:start w:val="1"/>
      <w:numFmt w:val="decimal"/>
      <w:lvlText w:val="%7."/>
      <w:lvlJc w:val="left"/>
      <w:pPr>
        <w:ind w:left="5040" w:hanging="360"/>
      </w:pPr>
    </w:lvl>
    <w:lvl w:ilvl="7" w:tplc="57B2DFA2" w:tentative="1">
      <w:start w:val="1"/>
      <w:numFmt w:val="lowerLetter"/>
      <w:lvlText w:val="%8."/>
      <w:lvlJc w:val="left"/>
      <w:pPr>
        <w:ind w:left="5760" w:hanging="360"/>
      </w:pPr>
    </w:lvl>
    <w:lvl w:ilvl="8" w:tplc="D2D00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7AF5"/>
    <w:multiLevelType w:val="hybridMultilevel"/>
    <w:tmpl w:val="C898E1FA"/>
    <w:lvl w:ilvl="0" w:tplc="79A05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701BEA" w:tentative="1">
      <w:start w:val="1"/>
      <w:numFmt w:val="lowerLetter"/>
      <w:lvlText w:val="%2."/>
      <w:lvlJc w:val="left"/>
      <w:pPr>
        <w:ind w:left="1440" w:hanging="360"/>
      </w:pPr>
    </w:lvl>
    <w:lvl w:ilvl="2" w:tplc="33DE58DA" w:tentative="1">
      <w:start w:val="1"/>
      <w:numFmt w:val="lowerRoman"/>
      <w:lvlText w:val="%3."/>
      <w:lvlJc w:val="right"/>
      <w:pPr>
        <w:ind w:left="2160" w:hanging="180"/>
      </w:pPr>
    </w:lvl>
    <w:lvl w:ilvl="3" w:tplc="231E9886" w:tentative="1">
      <w:start w:val="1"/>
      <w:numFmt w:val="decimal"/>
      <w:lvlText w:val="%4."/>
      <w:lvlJc w:val="left"/>
      <w:pPr>
        <w:ind w:left="2880" w:hanging="360"/>
      </w:pPr>
    </w:lvl>
    <w:lvl w:ilvl="4" w:tplc="D3D4E2BA" w:tentative="1">
      <w:start w:val="1"/>
      <w:numFmt w:val="lowerLetter"/>
      <w:lvlText w:val="%5."/>
      <w:lvlJc w:val="left"/>
      <w:pPr>
        <w:ind w:left="3600" w:hanging="360"/>
      </w:pPr>
    </w:lvl>
    <w:lvl w:ilvl="5" w:tplc="BA7217CE" w:tentative="1">
      <w:start w:val="1"/>
      <w:numFmt w:val="lowerRoman"/>
      <w:lvlText w:val="%6."/>
      <w:lvlJc w:val="right"/>
      <w:pPr>
        <w:ind w:left="4320" w:hanging="180"/>
      </w:pPr>
    </w:lvl>
    <w:lvl w:ilvl="6" w:tplc="889EB766" w:tentative="1">
      <w:start w:val="1"/>
      <w:numFmt w:val="decimal"/>
      <w:lvlText w:val="%7."/>
      <w:lvlJc w:val="left"/>
      <w:pPr>
        <w:ind w:left="5040" w:hanging="360"/>
      </w:pPr>
    </w:lvl>
    <w:lvl w:ilvl="7" w:tplc="64E41418" w:tentative="1">
      <w:start w:val="1"/>
      <w:numFmt w:val="lowerLetter"/>
      <w:lvlText w:val="%8."/>
      <w:lvlJc w:val="left"/>
      <w:pPr>
        <w:ind w:left="5760" w:hanging="360"/>
      </w:pPr>
    </w:lvl>
    <w:lvl w:ilvl="8" w:tplc="29C48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2B073D"/>
    <w:multiLevelType w:val="hybridMultilevel"/>
    <w:tmpl w:val="5C44F160"/>
    <w:lvl w:ilvl="0" w:tplc="1E143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A8D3CA" w:tentative="1">
      <w:start w:val="1"/>
      <w:numFmt w:val="lowerLetter"/>
      <w:lvlText w:val="%2."/>
      <w:lvlJc w:val="left"/>
      <w:pPr>
        <w:ind w:left="1440" w:hanging="360"/>
      </w:pPr>
    </w:lvl>
    <w:lvl w:ilvl="2" w:tplc="89805D80" w:tentative="1">
      <w:start w:val="1"/>
      <w:numFmt w:val="lowerRoman"/>
      <w:lvlText w:val="%3."/>
      <w:lvlJc w:val="right"/>
      <w:pPr>
        <w:ind w:left="2160" w:hanging="180"/>
      </w:pPr>
    </w:lvl>
    <w:lvl w:ilvl="3" w:tplc="94DC6554" w:tentative="1">
      <w:start w:val="1"/>
      <w:numFmt w:val="decimal"/>
      <w:lvlText w:val="%4."/>
      <w:lvlJc w:val="left"/>
      <w:pPr>
        <w:ind w:left="2880" w:hanging="360"/>
      </w:pPr>
    </w:lvl>
    <w:lvl w:ilvl="4" w:tplc="D6E6D640" w:tentative="1">
      <w:start w:val="1"/>
      <w:numFmt w:val="lowerLetter"/>
      <w:lvlText w:val="%5."/>
      <w:lvlJc w:val="left"/>
      <w:pPr>
        <w:ind w:left="3600" w:hanging="360"/>
      </w:pPr>
    </w:lvl>
    <w:lvl w:ilvl="5" w:tplc="D194A1AA" w:tentative="1">
      <w:start w:val="1"/>
      <w:numFmt w:val="lowerRoman"/>
      <w:lvlText w:val="%6."/>
      <w:lvlJc w:val="right"/>
      <w:pPr>
        <w:ind w:left="4320" w:hanging="180"/>
      </w:pPr>
    </w:lvl>
    <w:lvl w:ilvl="6" w:tplc="6C0C60D0" w:tentative="1">
      <w:start w:val="1"/>
      <w:numFmt w:val="decimal"/>
      <w:lvlText w:val="%7."/>
      <w:lvlJc w:val="left"/>
      <w:pPr>
        <w:ind w:left="5040" w:hanging="360"/>
      </w:pPr>
    </w:lvl>
    <w:lvl w:ilvl="7" w:tplc="9732C7D4" w:tentative="1">
      <w:start w:val="1"/>
      <w:numFmt w:val="lowerLetter"/>
      <w:lvlText w:val="%8."/>
      <w:lvlJc w:val="left"/>
      <w:pPr>
        <w:ind w:left="5760" w:hanging="360"/>
      </w:pPr>
    </w:lvl>
    <w:lvl w:ilvl="8" w:tplc="94445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6ACF"/>
    <w:multiLevelType w:val="hybridMultilevel"/>
    <w:tmpl w:val="A058EE54"/>
    <w:lvl w:ilvl="0" w:tplc="C1682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3F64BF8" w:tentative="1">
      <w:start w:val="1"/>
      <w:numFmt w:val="lowerLetter"/>
      <w:lvlText w:val="%2."/>
      <w:lvlJc w:val="left"/>
      <w:pPr>
        <w:ind w:left="1800" w:hanging="360"/>
      </w:pPr>
    </w:lvl>
    <w:lvl w:ilvl="2" w:tplc="E7DA3754" w:tentative="1">
      <w:start w:val="1"/>
      <w:numFmt w:val="lowerRoman"/>
      <w:lvlText w:val="%3."/>
      <w:lvlJc w:val="right"/>
      <w:pPr>
        <w:ind w:left="2520" w:hanging="180"/>
      </w:pPr>
    </w:lvl>
    <w:lvl w:ilvl="3" w:tplc="19FC2B5E" w:tentative="1">
      <w:start w:val="1"/>
      <w:numFmt w:val="decimal"/>
      <w:lvlText w:val="%4."/>
      <w:lvlJc w:val="left"/>
      <w:pPr>
        <w:ind w:left="3240" w:hanging="360"/>
      </w:pPr>
    </w:lvl>
    <w:lvl w:ilvl="4" w:tplc="3BA818BA" w:tentative="1">
      <w:start w:val="1"/>
      <w:numFmt w:val="lowerLetter"/>
      <w:lvlText w:val="%5."/>
      <w:lvlJc w:val="left"/>
      <w:pPr>
        <w:ind w:left="3960" w:hanging="360"/>
      </w:pPr>
    </w:lvl>
    <w:lvl w:ilvl="5" w:tplc="209AFF6A" w:tentative="1">
      <w:start w:val="1"/>
      <w:numFmt w:val="lowerRoman"/>
      <w:lvlText w:val="%6."/>
      <w:lvlJc w:val="right"/>
      <w:pPr>
        <w:ind w:left="4680" w:hanging="180"/>
      </w:pPr>
    </w:lvl>
    <w:lvl w:ilvl="6" w:tplc="2A3821AC" w:tentative="1">
      <w:start w:val="1"/>
      <w:numFmt w:val="decimal"/>
      <w:lvlText w:val="%7."/>
      <w:lvlJc w:val="left"/>
      <w:pPr>
        <w:ind w:left="5400" w:hanging="360"/>
      </w:pPr>
    </w:lvl>
    <w:lvl w:ilvl="7" w:tplc="3FB6AB3A" w:tentative="1">
      <w:start w:val="1"/>
      <w:numFmt w:val="lowerLetter"/>
      <w:lvlText w:val="%8."/>
      <w:lvlJc w:val="left"/>
      <w:pPr>
        <w:ind w:left="6120" w:hanging="360"/>
      </w:pPr>
    </w:lvl>
    <w:lvl w:ilvl="8" w:tplc="526E9D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9"/>
  </w:num>
  <w:num w:numId="13">
    <w:abstractNumId w:val="15"/>
  </w:num>
  <w:num w:numId="14">
    <w:abstractNumId w:val="14"/>
  </w:num>
  <w:num w:numId="15">
    <w:abstractNumId w:val="18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D75B4"/>
    <w:rsid w:val="000E5669"/>
    <w:rsid w:val="000E6D4E"/>
    <w:rsid w:val="000F57CD"/>
    <w:rsid w:val="001038E1"/>
    <w:rsid w:val="00105E5D"/>
    <w:rsid w:val="0011614D"/>
    <w:rsid w:val="00116B6C"/>
    <w:rsid w:val="00134E3F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4BA"/>
    <w:rsid w:val="003E65E0"/>
    <w:rsid w:val="004006CA"/>
    <w:rsid w:val="00440D3E"/>
    <w:rsid w:val="004629EC"/>
    <w:rsid w:val="004672B9"/>
    <w:rsid w:val="00477A93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872A5"/>
    <w:rsid w:val="005C392D"/>
    <w:rsid w:val="005D29FA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C2123"/>
    <w:rsid w:val="006C256F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14B1"/>
    <w:rsid w:val="007F2866"/>
    <w:rsid w:val="007F3F65"/>
    <w:rsid w:val="008002C0"/>
    <w:rsid w:val="00807261"/>
    <w:rsid w:val="00842C83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1445F"/>
    <w:rsid w:val="00B30122"/>
    <w:rsid w:val="00B3153B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E1FB3"/>
    <w:rsid w:val="00CF6E91"/>
    <w:rsid w:val="00D10746"/>
    <w:rsid w:val="00D10BD9"/>
    <w:rsid w:val="00D147A9"/>
    <w:rsid w:val="00D24625"/>
    <w:rsid w:val="00D45BFA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23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BEA6469E-81F9-4C19-B78F-EFFCFB3F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Proofreader</cp:lastModifiedBy>
  <cp:revision>2</cp:revision>
  <dcterms:created xsi:type="dcterms:W3CDTF">2019-12-03T05:21:00Z</dcterms:created>
  <dcterms:modified xsi:type="dcterms:W3CDTF">2019-12-03T05:21:00Z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id="TKUlb7CQ"/&gt;&lt;style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