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p w:rsidR="002A2A03" w:rsidP="001A0A79">
      <w:pPr>
        <w:ind w:firstLine="0"/>
      </w:pPr>
    </w:p>
    <w:p w:rsidR="002A2A03"/>
    <w:p w:rsidR="002A2A03"/>
    <w:p w:rsidR="002A2A03"/>
    <w:p w:rsidR="002A2A03">
      <w:pPr>
        <w:jc w:val="center"/>
      </w:pPr>
      <w:r>
        <w:t>Full Title of Your Paper Here</w:t>
      </w:r>
    </w:p>
    <w:p w:rsidR="002A2A03">
      <w:pPr>
        <w:jc w:val="center"/>
      </w:pPr>
      <w:r>
        <w:t xml:space="preserve">Your </w:t>
      </w:r>
      <w:r>
        <w:t>Name  (</w:t>
      </w:r>
      <w:r>
        <w:t>First M. Last)</w:t>
      </w:r>
    </w:p>
    <w:p w:rsidR="002A2A03">
      <w:pPr>
        <w:jc w:val="center"/>
      </w:pPr>
      <w:r>
        <w:t>School or Institution Name (University at Place or Town, State)</w:t>
      </w:r>
    </w:p>
    <w:p w:rsidR="00E74A13" w:rsidRPr="009B4290" w:rsidP="009B4290">
      <w:pPr>
        <w:jc w:val="both"/>
      </w:pPr>
      <w:r w:rsidRPr="009B4290">
        <w:br w:type="page"/>
      </w:r>
      <w:r w:rsidRPr="009B4290">
        <w:rPr>
          <w:b/>
        </w:rPr>
        <w:t>Background Question</w:t>
      </w:r>
      <w:r w:rsidRPr="009B4290">
        <w:t xml:space="preserve"> </w:t>
      </w:r>
      <w:r w:rsidRPr="009B4290">
        <w:rPr>
          <w:b/>
        </w:rPr>
        <w:t>– Describe Kepler’s three laws of planetary motion.</w:t>
      </w:r>
    </w:p>
    <w:p w:rsidR="00E74A13" w:rsidRPr="009B4290" w:rsidP="009B4290">
      <w:pPr>
        <w:jc w:val="both"/>
      </w:pPr>
      <w:r w:rsidRPr="009B4290">
        <w:rPr>
          <w:b/>
        </w:rPr>
        <w:t>Objective</w:t>
      </w:r>
      <w:r w:rsidRPr="009B4290">
        <w:t>:  This assignment is aimed at analyzing the factors that influence the motions of the planets. This assignment will particularly analyze the study about such objects during the planets movement around the Sun. the basic premise is to analyze and to know exactly as to what constrain the movement of the planet. Is it relay a Meta thing, which disrupts the motion of the planets? If so, then to how much extent the motions of the planets are affected by the presence of such objects. This assignment will able the researcher to get a thorough analysis of the Kepler's laws about the motion of the planets. 
</w:t>
      </w:r>
    </w:p>
    <w:p w:rsidR="00E74A13" w:rsidRPr="009B4290" w:rsidP="009B4290">
      <w:pPr>
        <w:jc w:val="both"/>
      </w:pPr>
      <w:r w:rsidRPr="009B4290">
        <w:rPr>
          <w:b/>
        </w:rPr>
        <w:t xml:space="preserve">Hypothesis: </w:t>
      </w:r>
      <w:r w:rsidRPr="009B4290">
        <w:t>The movements of the planets conform to the laws of Kepler's, but somehow in the unavailability of the type of matter being searched that might be present in the space, it is impossible to analyze the perfect rotatory motion of the planet. 
</w:t>
      </w:r>
    </w:p>
    <w:p w:rsidR="00E74A13" w:rsidRPr="009B4290" w:rsidP="009B4290">
      <w:r w:rsidRPr="009B4290">
        <w:rPr>
          <w:b/>
        </w:rPr>
        <w:t>Q1</w:t>
      </w:r>
      <w:r w:rsidRPr="009B4290">
        <w:rPr>
          <w:i/>
        </w:rPr>
        <w:t xml:space="preserve">. </w:t>
      </w:r>
      <w:r w:rsidRPr="009B4290">
        <w:t>List the visible planets in order of increasing distance from Sun.</w:t>
      </w:r>
    </w:p>
    <w:p w:rsidR="00E74A13" w:rsidRPr="009B4290" w:rsidP="009B4290">
      <w:r w:rsidRPr="009B4290">
        <w:t>Answer: The list of visible planets from the sun in the order of their increasing distance is the Sun, Mercury preceded by the Venus, Earth, Mars, Jupiter, Saturn, Uranus, Neptune, and the Pluto</w:t>
      </w:r>
      <w:r w:rsidRPr="009B4290">
        <w:t>, such movements have also remained observable in Brown’s observations of 2015</w:t>
      </w:r>
      <w:r w:rsidRPr="009B4290">
        <w:fldChar w:fldCharType="begin"/>
      </w:r>
      <w:r w:rsidRPr="009B4290">
        <w:instrText xml:space="preserve"> ADDIN ZOTERO_ITEM CSL_CITATION {"citationID":"G6iBqTSK","properties":{"formattedCitation":"(Brown, 2015)","plainCitation":"(Brown, 2015)","noteIndex":0},"citationItems":[{"id":20,"uris":["http://zotero.org/users/local/s8f0QVnP/items/F4XFTP8Q"],"uri":["http://zotero.org/users/local/s8f0QVnP/items/F4XFTP8Q"],"itemData":{"id":20,"type":"article-journal","title":"Exploring skyscape in Stellarium","container-title":"Journal of Skyscape Archaeology","page":"93–112","volume":"1","issue":"1","source":"Google Scholar","author":[{"family":"Brown","given":"Daniel"}],"issued":{"date-parts":[["2015"]]}}}],"schema":"https://github.com/citation-style-language/schema/raw/master/csl-citation.json"} </w:instrText>
      </w:r>
      <w:r w:rsidRPr="009B4290">
        <w:fldChar w:fldCharType="separate"/>
      </w:r>
      <w:r w:rsidRPr="009B4290">
        <w:t>(Brown, 2015)</w:t>
      </w:r>
      <w:r w:rsidRPr="009B4290">
        <w:fldChar w:fldCharType="end"/>
      </w:r>
      <w:r w:rsidRPr="009B4290">
        <w:t>. Although Pluto does not qualify the definition of a planet, somehow it is observable. 
</w:t>
      </w:r>
    </w:p>
    <w:p w:rsidR="00E74A13" w:rsidRPr="009B4290" w:rsidP="009B4290">
      <w:r w:rsidRPr="009B4290">
        <w:rPr>
          <w:b/>
          <w:i/>
        </w:rPr>
        <w:t xml:space="preserve">Q2. </w:t>
      </w:r>
      <w:r w:rsidRPr="009B4290">
        <w:t xml:space="preserve">Are the planets moving at the same speed? If not, which planet is the fastest and what planet is the slowest? </w:t>
      </w:r>
    </w:p>
    <w:p w:rsidR="00E74A13" w:rsidRPr="009B4290" w:rsidP="009B4290">
      <w:r w:rsidRPr="009B4290">
        <w:t xml:space="preserve">Answer: It has been noticed that the planet Jupiter is moving the fastest as compared to the movements of other planets, as it has the smallest length of the day and night. Whereas, the planet Venus is moving at the minimum speed if compared to the movements of rest of the planets in the solar system. </w:t>
      </w:r>
    </w:p>
    <w:p w:rsidR="00E74A13" w:rsidRPr="009B4290" w:rsidP="009B4290">
      <w:r w:rsidRPr="009B4290">
        <w:rPr>
          <w:b/>
        </w:rPr>
        <w:t xml:space="preserve">Q3. </w:t>
      </w:r>
      <w:r w:rsidRPr="009B4290">
        <w:t>Is Mercury orbit perfectly circular or is it slightly egg-shaped?
</w:t>
      </w:r>
    </w:p>
    <w:p w:rsidR="00E74A13" w:rsidRPr="009B4290" w:rsidP="009B4290">
      <w:pPr>
        <w:jc w:val="both"/>
      </w:pPr>
      <w:r w:rsidRPr="009B4290">
        <w:t>Answer: It has been observed that the planet Mercury does not conform to the circular definition of shape, and nether it has shown any such attributes visible. Therefore, for the sake of this experiment, the mercury will be mentioned as the Egg-shaped or in simple words the oval shaped. 
</w:t>
      </w:r>
    </w:p>
    <w:p w:rsidR="00E74A13" w:rsidRPr="009B4290" w:rsidP="009B4290">
      <w:r w:rsidRPr="009B4290">
        <w:rPr>
          <w:b/>
        </w:rPr>
        <w:t>Q4.</w:t>
      </w:r>
      <w:r w:rsidRPr="009B4290">
        <w:t xml:space="preserve"> Is the Sun at the exact center of Mercury orbit?</w:t>
      </w:r>
    </w:p>
    <w:p w:rsidR="00E74A13" w:rsidRPr="009B4290" w:rsidP="009B4290">
      <w:r w:rsidRPr="009B4290">
        <w:t>Answer: it has been observed during the observation that as since the mercury shares, not an exact circular path, therefore it has been observed that the sun is not ion the exact middle of the planet Mercury's orbit. 
</w:t>
      </w:r>
    </w:p>
    <w:p w:rsidR="00E74A13" w:rsidRPr="009B4290" w:rsidP="009B4290">
      <w:r w:rsidRPr="009B4290">
        <w:rPr>
          <w:b/>
        </w:rPr>
        <w:t>Q5.</w:t>
      </w:r>
      <w:r w:rsidRPr="009B4290">
        <w:t xml:space="preserve"> When does Encke move the fastest? Is this in agreement with Kepler’s second law?</w:t>
      </w:r>
    </w:p>
    <w:p w:rsidR="00E74A13" w:rsidRPr="009B4290" w:rsidP="009B4290">
      <w:r w:rsidRPr="009B4290">
        <w:t xml:space="preserve">Answer: </w:t>
      </w:r>
      <w:r w:rsidRPr="009B4290">
        <w:rPr>
          <w:shd w:val="clear" w:color="auto" w:fill="FFFFFF"/>
        </w:rPr>
        <w:t>Universal gravitation calls for that whenever some closeness is observed between a planet and the sun, while the planet is revolving its orbital motion, some fastness will be observed in the motion of the planet. Similarly, it will appear to be moving slowly when it goes away from the sun. So since the mercury is the closest planet to the sun, it will keep on changing the speed of its motion. 
</w:t>
      </w:r>
    </w:p>
    <w:tbl>
      <w:tblPr>
        <w:tblW w:w="9794" w:type="dxa"/>
        <w:tblLook w:val="04A0"/>
      </w:tblPr>
      <w:tblGrid>
        <w:gridCol w:w="2268"/>
        <w:gridCol w:w="1324"/>
        <w:gridCol w:w="2368"/>
        <w:gridCol w:w="936"/>
        <w:gridCol w:w="2898"/>
      </w:tblGrid>
      <w:tr w:rsidTr="00E74A13">
        <w:tblPrEx>
          <w:tblW w:w="9794" w:type="dxa"/>
          <w:tblLook w:val="04A0"/>
        </w:tblPrEx>
        <w:trPr>
          <w:trHeight w:val="300"/>
        </w:trPr>
        <w:tc>
          <w:tcPr>
            <w:tcW w:w="2268" w:type="dxa"/>
            <w:tcBorders>
              <w:top w:val="nil"/>
              <w:left w:val="nil"/>
              <w:bottom w:val="nil"/>
              <w:right w:val="nil"/>
            </w:tcBorders>
            <w:shd w:val="clear" w:color="auto" w:fill="auto"/>
            <w:noWrap/>
            <w:vAlign w:val="bottom"/>
            <w:hideMark/>
          </w:tcPr>
          <w:p w:rsidR="00E74A13" w:rsidRPr="009B4290" w:rsidP="009B4290">
            <w:pPr>
              <w:rPr>
                <w:b/>
              </w:rPr>
            </w:pPr>
          </w:p>
        </w:tc>
        <w:tc>
          <w:tcPr>
            <w:tcW w:w="1324" w:type="dxa"/>
            <w:tcBorders>
              <w:top w:val="nil"/>
              <w:left w:val="nil"/>
              <w:bottom w:val="nil"/>
              <w:right w:val="nil"/>
            </w:tcBorders>
            <w:shd w:val="clear" w:color="auto" w:fill="auto"/>
            <w:noWrap/>
            <w:vAlign w:val="bottom"/>
            <w:hideMark/>
          </w:tcPr>
          <w:p w:rsidR="00E74A13" w:rsidRPr="009B4290" w:rsidP="009B4290">
            <w:pPr>
              <w:rPr>
                <w:b/>
              </w:rPr>
            </w:pPr>
          </w:p>
        </w:tc>
        <w:tc>
          <w:tcPr>
            <w:tcW w:w="2368" w:type="dxa"/>
            <w:tcBorders>
              <w:top w:val="nil"/>
              <w:left w:val="nil"/>
              <w:bottom w:val="nil"/>
              <w:right w:val="nil"/>
            </w:tcBorders>
            <w:shd w:val="clear" w:color="auto" w:fill="auto"/>
            <w:noWrap/>
            <w:vAlign w:val="bottom"/>
            <w:hideMark/>
          </w:tcPr>
          <w:p w:rsidR="009B4290" w:rsidP="009B4290">
            <w:pPr>
              <w:rPr>
                <w:b/>
                <w:color w:val="000000"/>
              </w:rPr>
            </w:pPr>
            <w:r>
              <w:rPr>
                <w:b/>
                <w:color w:val="000000"/>
              </w:rPr>
              <w:t>Average</w:t>
            </w:r>
          </w:p>
          <w:p w:rsidR="00E74A13" w:rsidRPr="009B4290" w:rsidP="009B4290">
            <w:pPr>
              <w:rPr>
                <w:b/>
              </w:rPr>
            </w:pPr>
            <w:r w:rsidRPr="009B4290">
              <w:rPr>
                <w:b/>
                <w:color w:val="000000"/>
              </w:rPr>
              <w:t>distance (a)</w:t>
            </w:r>
          </w:p>
        </w:tc>
        <w:tc>
          <w:tcPr>
            <w:tcW w:w="936" w:type="dxa"/>
            <w:tcBorders>
              <w:top w:val="nil"/>
              <w:left w:val="nil"/>
              <w:bottom w:val="nil"/>
              <w:right w:val="nil"/>
            </w:tcBorders>
            <w:shd w:val="clear" w:color="auto" w:fill="auto"/>
            <w:noWrap/>
            <w:vAlign w:val="bottom"/>
            <w:hideMark/>
          </w:tcPr>
          <w:p w:rsidR="00E74A13" w:rsidRPr="009B4290" w:rsidP="009B4290">
            <w:pPr>
              <w:rPr>
                <w:b/>
              </w:rPr>
            </w:pPr>
          </w:p>
        </w:tc>
        <w:tc>
          <w:tcPr>
            <w:tcW w:w="2898" w:type="dxa"/>
            <w:tcBorders>
              <w:top w:val="nil"/>
              <w:left w:val="nil"/>
              <w:bottom w:val="nil"/>
              <w:right w:val="nil"/>
            </w:tcBorders>
            <w:shd w:val="clear" w:color="auto" w:fill="auto"/>
            <w:noWrap/>
            <w:vAlign w:val="bottom"/>
            <w:hideMark/>
          </w:tcPr>
          <w:p w:rsidR="00E74A13" w:rsidRPr="009B4290" w:rsidP="009B4290">
            <w:pPr>
              <w:rPr>
                <w:b/>
              </w:rPr>
            </w:pPr>
          </w:p>
        </w:tc>
      </w:tr>
      <w:tr w:rsidTr="00E74A13">
        <w:tblPrEx>
          <w:tblW w:w="9794" w:type="dxa"/>
          <w:tblLook w:val="04A0"/>
        </w:tblPrEx>
        <w:trPr>
          <w:trHeight w:val="345"/>
        </w:trPr>
        <w:tc>
          <w:tcPr>
            <w:tcW w:w="2268" w:type="dxa"/>
            <w:tcBorders>
              <w:top w:val="nil"/>
              <w:left w:val="nil"/>
              <w:bottom w:val="single" w:sz="4" w:space="0" w:color="auto"/>
              <w:right w:val="nil"/>
            </w:tcBorders>
            <w:shd w:val="clear" w:color="auto" w:fill="auto"/>
            <w:noWrap/>
            <w:vAlign w:val="bottom"/>
            <w:hideMark/>
          </w:tcPr>
          <w:p w:rsidR="00E74A13" w:rsidRPr="009B4290" w:rsidP="009B4290">
            <w:pPr>
              <w:jc w:val="center"/>
              <w:rPr>
                <w:b/>
                <w:color w:val="000000"/>
              </w:rPr>
            </w:pPr>
            <w:r w:rsidRPr="009B4290">
              <w:rPr>
                <w:b/>
                <w:color w:val="000000"/>
              </w:rPr>
              <w:t>Planet</w:t>
            </w:r>
          </w:p>
        </w:tc>
        <w:tc>
          <w:tcPr>
            <w:tcW w:w="1324" w:type="dxa"/>
            <w:tcBorders>
              <w:top w:val="nil"/>
              <w:left w:val="nil"/>
              <w:bottom w:val="single" w:sz="4" w:space="0" w:color="auto"/>
              <w:right w:val="nil"/>
            </w:tcBorders>
            <w:shd w:val="clear" w:color="auto" w:fill="auto"/>
            <w:noWrap/>
            <w:vAlign w:val="bottom"/>
            <w:hideMark/>
          </w:tcPr>
          <w:p w:rsidR="00E74A13" w:rsidRPr="009B4290" w:rsidP="009B4290">
            <w:pPr>
              <w:jc w:val="center"/>
              <w:rPr>
                <w:b/>
                <w:color w:val="000000"/>
              </w:rPr>
            </w:pPr>
            <w:r w:rsidRPr="009B4290">
              <w:rPr>
                <w:b/>
                <w:color w:val="000000"/>
              </w:rPr>
              <w:t>Period (p)</w:t>
            </w:r>
          </w:p>
        </w:tc>
        <w:tc>
          <w:tcPr>
            <w:tcW w:w="2368" w:type="dxa"/>
            <w:tcBorders>
              <w:top w:val="nil"/>
              <w:left w:val="nil"/>
              <w:bottom w:val="single" w:sz="4" w:space="0" w:color="auto"/>
              <w:right w:val="nil"/>
            </w:tcBorders>
            <w:shd w:val="clear" w:color="auto" w:fill="auto"/>
            <w:noWrap/>
            <w:vAlign w:val="bottom"/>
            <w:hideMark/>
          </w:tcPr>
          <w:p w:rsidR="00E74A13" w:rsidRPr="009B4290" w:rsidP="009B4290">
            <w:pPr>
              <w:jc w:val="center"/>
              <w:rPr>
                <w:b/>
                <w:color w:val="000000"/>
              </w:rPr>
            </w:pPr>
            <w:r w:rsidRPr="009B4290">
              <w:rPr>
                <w:b/>
                <w:color w:val="000000"/>
              </w:rPr>
              <w:t>= (perihelion + aphelion) / 2</w:t>
            </w:r>
          </w:p>
        </w:tc>
        <w:tc>
          <w:tcPr>
            <w:tcW w:w="936" w:type="dxa"/>
            <w:tcBorders>
              <w:top w:val="nil"/>
              <w:left w:val="nil"/>
              <w:bottom w:val="single" w:sz="4" w:space="0" w:color="auto"/>
              <w:right w:val="nil"/>
            </w:tcBorders>
            <w:shd w:val="clear" w:color="auto" w:fill="auto"/>
            <w:noWrap/>
            <w:vAlign w:val="bottom"/>
            <w:hideMark/>
          </w:tcPr>
          <w:p w:rsidR="00E74A13" w:rsidRPr="009B4290" w:rsidP="009B4290">
            <w:pPr>
              <w:jc w:val="center"/>
              <w:rPr>
                <w:b/>
                <w:color w:val="000000"/>
              </w:rPr>
            </w:pPr>
            <w:r w:rsidRPr="009B4290">
              <w:rPr>
                <w:b/>
                <w:color w:val="000000"/>
              </w:rPr>
              <w:t xml:space="preserve"> p</w:t>
            </w:r>
            <w:r w:rsidRPr="009B4290">
              <w:rPr>
                <w:b/>
                <w:color w:val="000000"/>
                <w:vertAlign w:val="superscript"/>
              </w:rPr>
              <w:t>2</w:t>
            </w:r>
          </w:p>
        </w:tc>
        <w:tc>
          <w:tcPr>
            <w:tcW w:w="2898" w:type="dxa"/>
            <w:tcBorders>
              <w:top w:val="nil"/>
              <w:left w:val="nil"/>
              <w:bottom w:val="single" w:sz="4" w:space="0" w:color="auto"/>
              <w:right w:val="nil"/>
            </w:tcBorders>
            <w:shd w:val="clear" w:color="auto" w:fill="auto"/>
            <w:noWrap/>
            <w:vAlign w:val="bottom"/>
            <w:hideMark/>
          </w:tcPr>
          <w:p w:rsidR="00E74A13" w:rsidRPr="009B4290" w:rsidP="009B4290">
            <w:pPr>
              <w:jc w:val="center"/>
              <w:rPr>
                <w:b/>
                <w:color w:val="000000"/>
              </w:rPr>
            </w:pPr>
            <w:r w:rsidRPr="009B4290">
              <w:rPr>
                <w:b/>
                <w:color w:val="000000"/>
              </w:rPr>
              <w:t>a</w:t>
            </w:r>
            <w:r w:rsidRPr="009B4290">
              <w:rPr>
                <w:b/>
                <w:color w:val="000000"/>
                <w:vertAlign w:val="superscript"/>
              </w:rPr>
              <w:t>3</w:t>
            </w:r>
          </w:p>
        </w:tc>
      </w:tr>
      <w:tr w:rsidTr="00E74A13">
        <w:tblPrEx>
          <w:tblW w:w="9794" w:type="dxa"/>
          <w:tblLook w:val="04A0"/>
        </w:tblPrEx>
        <w:trPr>
          <w:trHeight w:val="300"/>
        </w:trPr>
        <w:tc>
          <w:tcPr>
            <w:tcW w:w="2268"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1324"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2368"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936"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2898" w:type="dxa"/>
            <w:tcBorders>
              <w:top w:val="nil"/>
              <w:left w:val="nil"/>
              <w:bottom w:val="nil"/>
              <w:right w:val="nil"/>
            </w:tcBorders>
            <w:shd w:val="clear" w:color="auto" w:fill="auto"/>
            <w:noWrap/>
            <w:vAlign w:val="bottom"/>
            <w:hideMark/>
          </w:tcPr>
          <w:p w:rsidR="00E74A13" w:rsidRPr="009B4290" w:rsidP="009B4290">
            <w:pPr>
              <w:rPr>
                <w:color w:val="000000"/>
              </w:rPr>
            </w:pPr>
            <w:r w:rsidRPr="009B4290">
              <w:rPr>
                <w:color w:val="000000"/>
              </w:rPr>
              <w:t> </w:t>
            </w:r>
          </w:p>
        </w:tc>
      </w:tr>
      <w:tr w:rsidTr="00E74A13">
        <w:tblPrEx>
          <w:tblW w:w="9794" w:type="dxa"/>
          <w:tblLook w:val="04A0"/>
        </w:tblPrEx>
        <w:trPr>
          <w:trHeight w:val="300"/>
        </w:trPr>
        <w:tc>
          <w:tcPr>
            <w:tcW w:w="2268"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xml:space="preserve"> The Earth </w:t>
            </w:r>
          </w:p>
        </w:tc>
        <w:tc>
          <w:tcPr>
            <w:tcW w:w="1324" w:type="dxa"/>
            <w:tcBorders>
              <w:top w:val="nil"/>
              <w:left w:val="nil"/>
              <w:bottom w:val="nil"/>
              <w:right w:val="single" w:sz="4" w:space="0" w:color="auto"/>
            </w:tcBorders>
            <w:shd w:val="clear" w:color="auto" w:fill="auto"/>
            <w:noWrap/>
            <w:vAlign w:val="bottom"/>
            <w:hideMark/>
          </w:tcPr>
          <w:p w:rsidR="00E74A13" w:rsidRPr="009B4290" w:rsidP="009B4290">
            <w:pPr>
              <w:ind w:firstLine="0"/>
              <w:rPr>
                <w:color w:val="000000"/>
              </w:rPr>
            </w:pPr>
            <w:r w:rsidRPr="009B4290">
              <w:rPr>
                <w:color w:val="000000"/>
              </w:rPr>
              <w:t>1.00</w:t>
            </w:r>
          </w:p>
        </w:tc>
        <w:tc>
          <w:tcPr>
            <w:tcW w:w="2368" w:type="dxa"/>
            <w:tcBorders>
              <w:top w:val="nil"/>
              <w:left w:val="nil"/>
              <w:bottom w:val="nil"/>
              <w:right w:val="single" w:sz="4" w:space="0" w:color="auto"/>
            </w:tcBorders>
            <w:shd w:val="clear" w:color="auto" w:fill="auto"/>
            <w:noWrap/>
            <w:vAlign w:val="bottom"/>
            <w:hideMark/>
          </w:tcPr>
          <w:p w:rsidR="00E74A13" w:rsidRPr="009B4290" w:rsidP="009B4290">
            <w:pPr>
              <w:ind w:firstLine="0"/>
              <w:rPr>
                <w:color w:val="000000"/>
              </w:rPr>
            </w:pPr>
            <w:r w:rsidRPr="009B4290">
              <w:rPr>
                <w:color w:val="000000"/>
              </w:rPr>
              <w:t>(0.0983+1.017)/2</w:t>
            </w:r>
          </w:p>
        </w:tc>
        <w:tc>
          <w:tcPr>
            <w:tcW w:w="936"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1.00</w:t>
            </w:r>
          </w:p>
        </w:tc>
        <w:tc>
          <w:tcPr>
            <w:tcW w:w="2898" w:type="dxa"/>
            <w:tcBorders>
              <w:top w:val="nil"/>
              <w:left w:val="nil"/>
              <w:bottom w:val="nil"/>
              <w:right w:val="nil"/>
            </w:tcBorders>
            <w:shd w:val="clear" w:color="auto" w:fill="auto"/>
            <w:noWrap/>
            <w:vAlign w:val="bottom"/>
            <w:hideMark/>
          </w:tcPr>
          <w:p w:rsidR="00E74A13" w:rsidRPr="009B4290" w:rsidP="009B4290">
            <w:pPr>
              <w:rPr>
                <w:color w:val="000000"/>
              </w:rPr>
            </w:pPr>
            <w:r w:rsidRPr="009B4290">
              <w:rPr>
                <w:color w:val="000000"/>
              </w:rPr>
              <w:t>1.00</w:t>
            </w:r>
          </w:p>
        </w:tc>
      </w:tr>
      <w:tr w:rsidTr="00E74A13">
        <w:tblPrEx>
          <w:tblW w:w="9794" w:type="dxa"/>
          <w:tblLook w:val="04A0"/>
        </w:tblPrEx>
        <w:trPr>
          <w:trHeight w:val="300"/>
        </w:trPr>
        <w:tc>
          <w:tcPr>
            <w:tcW w:w="2268"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1324"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2368"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936"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2898" w:type="dxa"/>
            <w:tcBorders>
              <w:top w:val="nil"/>
              <w:left w:val="nil"/>
              <w:bottom w:val="nil"/>
              <w:right w:val="nil"/>
            </w:tcBorders>
            <w:shd w:val="clear" w:color="auto" w:fill="auto"/>
            <w:noWrap/>
            <w:vAlign w:val="bottom"/>
            <w:hideMark/>
          </w:tcPr>
          <w:p w:rsidR="00E74A13" w:rsidRPr="009B4290" w:rsidP="009B4290">
            <w:pPr>
              <w:rPr>
                <w:color w:val="000000"/>
              </w:rPr>
            </w:pPr>
            <w:r w:rsidRPr="009B4290">
              <w:rPr>
                <w:color w:val="000000"/>
              </w:rPr>
              <w:t> </w:t>
            </w:r>
          </w:p>
        </w:tc>
      </w:tr>
      <w:tr w:rsidTr="00E74A13">
        <w:tblPrEx>
          <w:tblW w:w="9794" w:type="dxa"/>
          <w:tblLook w:val="04A0"/>
        </w:tblPrEx>
        <w:trPr>
          <w:trHeight w:val="300"/>
        </w:trPr>
        <w:tc>
          <w:tcPr>
            <w:tcW w:w="2268"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xml:space="preserve"> The Mercury </w:t>
            </w:r>
          </w:p>
        </w:tc>
        <w:tc>
          <w:tcPr>
            <w:tcW w:w="1324" w:type="dxa"/>
            <w:tcBorders>
              <w:top w:val="nil"/>
              <w:left w:val="nil"/>
              <w:bottom w:val="nil"/>
              <w:right w:val="single" w:sz="4" w:space="0" w:color="auto"/>
            </w:tcBorders>
            <w:shd w:val="clear" w:color="auto" w:fill="auto"/>
            <w:noWrap/>
            <w:vAlign w:val="bottom"/>
            <w:hideMark/>
          </w:tcPr>
          <w:p w:rsidR="00E74A13" w:rsidRPr="009B4290" w:rsidP="009B4290">
            <w:pPr>
              <w:ind w:firstLine="0"/>
              <w:rPr>
                <w:color w:val="000000"/>
              </w:rPr>
            </w:pPr>
            <w:r w:rsidRPr="009B4290">
              <w:rPr>
                <w:color w:val="000000"/>
              </w:rPr>
              <w:t>0.241</w:t>
            </w:r>
          </w:p>
        </w:tc>
        <w:tc>
          <w:tcPr>
            <w:tcW w:w="2368" w:type="dxa"/>
            <w:tcBorders>
              <w:top w:val="nil"/>
              <w:left w:val="nil"/>
              <w:bottom w:val="nil"/>
              <w:right w:val="single" w:sz="4" w:space="0" w:color="auto"/>
            </w:tcBorders>
            <w:shd w:val="clear" w:color="auto" w:fill="auto"/>
            <w:noWrap/>
            <w:vAlign w:val="bottom"/>
            <w:hideMark/>
          </w:tcPr>
          <w:p w:rsidR="00E74A13" w:rsidRPr="009B4290" w:rsidP="009B4290">
            <w:pPr>
              <w:ind w:firstLine="0"/>
              <w:rPr>
                <w:color w:val="000000"/>
              </w:rPr>
            </w:pPr>
            <w:r w:rsidRPr="009B4290">
              <w:rPr>
                <w:color w:val="000000"/>
              </w:rPr>
              <w:t>(0.308+0.467)/2</w:t>
            </w:r>
          </w:p>
        </w:tc>
        <w:tc>
          <w:tcPr>
            <w:tcW w:w="936"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r w:rsidRPr="009B4290">
              <w:rPr>
                <w:color w:val="000000"/>
              </w:rPr>
              <w:t>0.3875</w:t>
            </w:r>
          </w:p>
        </w:tc>
        <w:tc>
          <w:tcPr>
            <w:tcW w:w="2898" w:type="dxa"/>
            <w:tcBorders>
              <w:top w:val="nil"/>
              <w:left w:val="nil"/>
              <w:bottom w:val="nil"/>
              <w:right w:val="nil"/>
            </w:tcBorders>
            <w:shd w:val="clear" w:color="auto" w:fill="auto"/>
            <w:noWrap/>
            <w:vAlign w:val="bottom"/>
            <w:hideMark/>
          </w:tcPr>
          <w:p w:rsidR="00E74A13" w:rsidRPr="009B4290" w:rsidP="009B4290">
            <w:pPr>
              <w:rPr>
                <w:color w:val="000000"/>
              </w:rPr>
            </w:pPr>
            <w:r w:rsidRPr="009B4290">
              <w:rPr>
                <w:color w:val="000000"/>
              </w:rPr>
              <w:t>0.3875</w:t>
            </w:r>
          </w:p>
        </w:tc>
      </w:tr>
      <w:tr w:rsidTr="00E74A13">
        <w:tblPrEx>
          <w:tblW w:w="9794" w:type="dxa"/>
          <w:tblLook w:val="04A0"/>
        </w:tblPrEx>
        <w:trPr>
          <w:trHeight w:val="300"/>
        </w:trPr>
        <w:tc>
          <w:tcPr>
            <w:tcW w:w="2268"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1324"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2368"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p>
        </w:tc>
        <w:tc>
          <w:tcPr>
            <w:tcW w:w="936"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2898" w:type="dxa"/>
            <w:tcBorders>
              <w:top w:val="nil"/>
              <w:left w:val="nil"/>
              <w:bottom w:val="nil"/>
              <w:right w:val="nil"/>
            </w:tcBorders>
            <w:shd w:val="clear" w:color="auto" w:fill="auto"/>
            <w:noWrap/>
            <w:vAlign w:val="bottom"/>
            <w:hideMark/>
          </w:tcPr>
          <w:p w:rsidR="00E74A13" w:rsidRPr="009B4290" w:rsidP="009B4290">
            <w:pPr>
              <w:rPr>
                <w:color w:val="000000"/>
              </w:rPr>
            </w:pPr>
            <w:r w:rsidRPr="009B4290">
              <w:rPr>
                <w:color w:val="000000"/>
              </w:rPr>
              <w:t> </w:t>
            </w:r>
          </w:p>
        </w:tc>
      </w:tr>
      <w:tr w:rsidTr="00E74A13">
        <w:tblPrEx>
          <w:tblW w:w="9794" w:type="dxa"/>
          <w:tblLook w:val="04A0"/>
        </w:tblPrEx>
        <w:trPr>
          <w:trHeight w:val="300"/>
        </w:trPr>
        <w:tc>
          <w:tcPr>
            <w:tcW w:w="2268"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The Mars</w:t>
            </w:r>
          </w:p>
        </w:tc>
        <w:tc>
          <w:tcPr>
            <w:tcW w:w="1324" w:type="dxa"/>
            <w:tcBorders>
              <w:top w:val="nil"/>
              <w:left w:val="nil"/>
              <w:bottom w:val="nil"/>
              <w:right w:val="single" w:sz="4" w:space="0" w:color="auto"/>
            </w:tcBorders>
            <w:shd w:val="clear" w:color="auto" w:fill="auto"/>
            <w:noWrap/>
            <w:vAlign w:val="bottom"/>
            <w:hideMark/>
          </w:tcPr>
          <w:p w:rsidR="00E74A13" w:rsidRPr="009B4290" w:rsidP="009B4290">
            <w:pPr>
              <w:ind w:firstLine="0"/>
              <w:rPr>
                <w:color w:val="000000"/>
              </w:rPr>
            </w:pPr>
            <w:r w:rsidRPr="009B4290">
              <w:rPr>
                <w:color w:val="000000"/>
              </w:rPr>
              <w:t>1.881</w:t>
            </w:r>
          </w:p>
        </w:tc>
        <w:tc>
          <w:tcPr>
            <w:tcW w:w="2368" w:type="dxa"/>
            <w:tcBorders>
              <w:top w:val="nil"/>
              <w:left w:val="nil"/>
              <w:bottom w:val="nil"/>
              <w:right w:val="single" w:sz="4" w:space="0" w:color="auto"/>
            </w:tcBorders>
            <w:shd w:val="clear" w:color="auto" w:fill="auto"/>
            <w:noWrap/>
            <w:vAlign w:val="bottom"/>
            <w:hideMark/>
          </w:tcPr>
          <w:p w:rsidR="00E74A13" w:rsidRPr="009B4290" w:rsidP="009B4290">
            <w:pPr>
              <w:ind w:firstLine="0"/>
              <w:rPr>
                <w:color w:val="000000"/>
              </w:rPr>
            </w:pPr>
            <w:r w:rsidRPr="009B4290">
              <w:rPr>
                <w:color w:val="000000"/>
              </w:rPr>
              <w:t>(1.666+1.381)/2</w:t>
            </w:r>
          </w:p>
        </w:tc>
        <w:tc>
          <w:tcPr>
            <w:tcW w:w="936"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1.5235</w:t>
            </w:r>
          </w:p>
        </w:tc>
        <w:tc>
          <w:tcPr>
            <w:tcW w:w="2898" w:type="dxa"/>
            <w:tcBorders>
              <w:top w:val="nil"/>
              <w:left w:val="nil"/>
              <w:bottom w:val="nil"/>
              <w:right w:val="nil"/>
            </w:tcBorders>
            <w:shd w:val="clear" w:color="auto" w:fill="auto"/>
            <w:noWrap/>
            <w:vAlign w:val="bottom"/>
            <w:hideMark/>
          </w:tcPr>
          <w:p w:rsidR="00E74A13" w:rsidRPr="009B4290" w:rsidP="009B4290">
            <w:pPr>
              <w:rPr>
                <w:color w:val="000000"/>
              </w:rPr>
            </w:pPr>
            <w:r w:rsidRPr="009B4290">
              <w:rPr>
                <w:color w:val="000000"/>
              </w:rPr>
              <w:t>1.5325</w:t>
            </w:r>
          </w:p>
        </w:tc>
      </w:tr>
      <w:tr w:rsidTr="00E74A13">
        <w:tblPrEx>
          <w:tblW w:w="9794" w:type="dxa"/>
          <w:tblLook w:val="04A0"/>
        </w:tblPrEx>
        <w:trPr>
          <w:trHeight w:val="300"/>
        </w:trPr>
        <w:tc>
          <w:tcPr>
            <w:tcW w:w="2268"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1324"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2368"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936"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2898" w:type="dxa"/>
            <w:tcBorders>
              <w:top w:val="nil"/>
              <w:left w:val="nil"/>
              <w:bottom w:val="nil"/>
              <w:right w:val="nil"/>
            </w:tcBorders>
            <w:shd w:val="clear" w:color="auto" w:fill="auto"/>
            <w:noWrap/>
            <w:vAlign w:val="bottom"/>
            <w:hideMark/>
          </w:tcPr>
          <w:p w:rsidR="00E74A13" w:rsidRPr="009B4290" w:rsidP="009B4290">
            <w:pPr>
              <w:rPr>
                <w:color w:val="000000"/>
              </w:rPr>
            </w:pPr>
            <w:r w:rsidRPr="009B4290">
              <w:rPr>
                <w:color w:val="000000"/>
              </w:rPr>
              <w:t> </w:t>
            </w:r>
          </w:p>
        </w:tc>
      </w:tr>
      <w:tr w:rsidTr="00E74A13">
        <w:tblPrEx>
          <w:tblW w:w="9794" w:type="dxa"/>
          <w:tblLook w:val="04A0"/>
        </w:tblPrEx>
        <w:trPr>
          <w:trHeight w:val="300"/>
        </w:trPr>
        <w:tc>
          <w:tcPr>
            <w:tcW w:w="2268"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xml:space="preserve"> The Saturn </w:t>
            </w:r>
          </w:p>
        </w:tc>
        <w:tc>
          <w:tcPr>
            <w:tcW w:w="1324" w:type="dxa"/>
            <w:tcBorders>
              <w:top w:val="nil"/>
              <w:left w:val="nil"/>
              <w:bottom w:val="nil"/>
              <w:right w:val="single" w:sz="4" w:space="0" w:color="auto"/>
            </w:tcBorders>
            <w:shd w:val="clear" w:color="auto" w:fill="auto"/>
            <w:noWrap/>
            <w:vAlign w:val="bottom"/>
            <w:hideMark/>
          </w:tcPr>
          <w:p w:rsidR="00E74A13" w:rsidRPr="009B4290" w:rsidP="009B4290">
            <w:pPr>
              <w:ind w:firstLine="0"/>
              <w:rPr>
                <w:color w:val="000000"/>
              </w:rPr>
            </w:pPr>
            <w:r w:rsidRPr="009B4290">
              <w:rPr>
                <w:color w:val="000000"/>
              </w:rPr>
              <w:t>29.459</w:t>
            </w:r>
          </w:p>
        </w:tc>
        <w:tc>
          <w:tcPr>
            <w:tcW w:w="2368" w:type="dxa"/>
            <w:tcBorders>
              <w:top w:val="nil"/>
              <w:left w:val="nil"/>
              <w:bottom w:val="nil"/>
              <w:right w:val="single" w:sz="4" w:space="0" w:color="auto"/>
            </w:tcBorders>
            <w:shd w:val="clear" w:color="auto" w:fill="auto"/>
            <w:noWrap/>
            <w:vAlign w:val="bottom"/>
            <w:hideMark/>
          </w:tcPr>
          <w:p w:rsidR="00E74A13" w:rsidRPr="009B4290" w:rsidP="009B4290">
            <w:pPr>
              <w:ind w:firstLine="0"/>
              <w:rPr>
                <w:color w:val="000000"/>
              </w:rPr>
            </w:pPr>
            <w:r w:rsidRPr="009B4290">
              <w:rPr>
                <w:color w:val="000000"/>
              </w:rPr>
              <w:t>(10.046+9.031)/2</w:t>
            </w:r>
          </w:p>
        </w:tc>
        <w:tc>
          <w:tcPr>
            <w:tcW w:w="936"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9.5385</w:t>
            </w:r>
          </w:p>
        </w:tc>
        <w:tc>
          <w:tcPr>
            <w:tcW w:w="2898" w:type="dxa"/>
            <w:tcBorders>
              <w:top w:val="nil"/>
              <w:left w:val="nil"/>
              <w:bottom w:val="nil"/>
              <w:right w:val="nil"/>
            </w:tcBorders>
            <w:shd w:val="clear" w:color="auto" w:fill="auto"/>
            <w:noWrap/>
            <w:vAlign w:val="bottom"/>
            <w:hideMark/>
          </w:tcPr>
          <w:p w:rsidR="00E74A13" w:rsidRPr="009B4290" w:rsidP="009B4290">
            <w:pPr>
              <w:rPr>
                <w:color w:val="000000"/>
              </w:rPr>
            </w:pPr>
            <w:r w:rsidRPr="009B4290">
              <w:rPr>
                <w:color w:val="000000"/>
              </w:rPr>
              <w:t> 9.5385</w:t>
            </w:r>
          </w:p>
        </w:tc>
      </w:tr>
      <w:tr w:rsidTr="00E74A13">
        <w:tblPrEx>
          <w:tblW w:w="9794" w:type="dxa"/>
          <w:tblLook w:val="04A0"/>
        </w:tblPrEx>
        <w:trPr>
          <w:trHeight w:val="300"/>
        </w:trPr>
        <w:tc>
          <w:tcPr>
            <w:tcW w:w="2268"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1324"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2368"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936"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2898" w:type="dxa"/>
            <w:tcBorders>
              <w:top w:val="nil"/>
              <w:left w:val="nil"/>
              <w:bottom w:val="nil"/>
              <w:right w:val="nil"/>
            </w:tcBorders>
            <w:shd w:val="clear" w:color="auto" w:fill="auto"/>
            <w:noWrap/>
            <w:vAlign w:val="bottom"/>
            <w:hideMark/>
          </w:tcPr>
          <w:p w:rsidR="00E74A13" w:rsidRPr="009B4290" w:rsidP="009B4290">
            <w:pPr>
              <w:rPr>
                <w:color w:val="000000"/>
              </w:rPr>
            </w:pPr>
            <w:r w:rsidRPr="009B4290">
              <w:rPr>
                <w:color w:val="000000"/>
              </w:rPr>
              <w:t> </w:t>
            </w:r>
          </w:p>
        </w:tc>
      </w:tr>
      <w:tr w:rsidTr="00E74A13">
        <w:tblPrEx>
          <w:tblW w:w="9794" w:type="dxa"/>
          <w:tblLook w:val="04A0"/>
        </w:tblPrEx>
        <w:trPr>
          <w:trHeight w:val="300"/>
        </w:trPr>
        <w:tc>
          <w:tcPr>
            <w:tcW w:w="2268"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1324"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2368"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936" w:type="dxa"/>
            <w:tcBorders>
              <w:top w:val="nil"/>
              <w:left w:val="nil"/>
              <w:bottom w:val="nil"/>
              <w:right w:val="single" w:sz="4" w:space="0" w:color="auto"/>
            </w:tcBorders>
            <w:shd w:val="clear" w:color="auto" w:fill="auto"/>
            <w:noWrap/>
            <w:vAlign w:val="bottom"/>
            <w:hideMark/>
          </w:tcPr>
          <w:p w:rsidR="00E74A13" w:rsidRPr="009B4290" w:rsidP="009B4290">
            <w:pPr>
              <w:rPr>
                <w:color w:val="000000"/>
              </w:rPr>
            </w:pPr>
            <w:r w:rsidRPr="009B4290">
              <w:rPr>
                <w:color w:val="000000"/>
              </w:rPr>
              <w:t> </w:t>
            </w:r>
          </w:p>
        </w:tc>
        <w:tc>
          <w:tcPr>
            <w:tcW w:w="2898" w:type="dxa"/>
            <w:tcBorders>
              <w:top w:val="nil"/>
              <w:left w:val="nil"/>
              <w:bottom w:val="nil"/>
              <w:right w:val="nil"/>
            </w:tcBorders>
            <w:shd w:val="clear" w:color="auto" w:fill="auto"/>
            <w:noWrap/>
            <w:vAlign w:val="bottom"/>
            <w:hideMark/>
          </w:tcPr>
          <w:p w:rsidR="00E74A13" w:rsidRPr="009B4290" w:rsidP="009B4290">
            <w:pPr>
              <w:rPr>
                <w:color w:val="000000"/>
              </w:rPr>
            </w:pPr>
            <w:r w:rsidRPr="009B4290">
              <w:rPr>
                <w:color w:val="000000"/>
              </w:rPr>
              <w:t> </w:t>
            </w:r>
          </w:p>
        </w:tc>
      </w:tr>
    </w:tbl>
    <w:p w:rsidR="00E74A13" w:rsidRPr="009B4290" w:rsidP="009B4290">
      <w:pPr>
        <w:pStyle w:val="ListParagraph"/>
        <w:spacing w:line="480" w:lineRule="auto"/>
        <w:rPr>
          <w:rFonts w:ascii="Times New Roman" w:hAnsi="Times New Roman"/>
          <w:sz w:val="24"/>
          <w:szCs w:val="24"/>
        </w:rPr>
      </w:pPr>
      <w:r w:rsidRPr="009B4290">
        <w:rPr>
          <w:rFonts w:ascii="Times New Roman" w:hAnsi="Times New Roman"/>
          <w:sz w:val="24"/>
          <w:szCs w:val="24"/>
        </w:rPr>
        <w:t xml:space="preserve"> </w:t>
      </w:r>
    </w:p>
    <w:p w:rsidR="00E74A13" w:rsidRPr="009B4290" w:rsidP="009B4290">
      <w:pPr>
        <w:ind w:firstLine="0"/>
      </w:pPr>
      <w:r w:rsidRPr="009B4290">
        <w:rPr>
          <w:b/>
        </w:rPr>
        <w:t xml:space="preserve">Q6. </w:t>
      </w:r>
      <w:r w:rsidRPr="009B4290">
        <w:t>Does your data support Kepler’s third law (p</w:t>
      </w:r>
      <w:r w:rsidRPr="009B4290">
        <w:rPr>
          <w:vertAlign w:val="superscript"/>
        </w:rPr>
        <w:t>2</w:t>
      </w:r>
      <w:r w:rsidRPr="009B4290">
        <w:t xml:space="preserve"> = a</w:t>
      </w:r>
      <w:r w:rsidRPr="009B4290">
        <w:rPr>
          <w:vertAlign w:val="superscript"/>
        </w:rPr>
        <w:t>3</w:t>
      </w:r>
      <w:r w:rsidRPr="009B4290">
        <w:t>)?</w:t>
      </w:r>
    </w:p>
    <w:p w:rsidR="00E74A13" w:rsidRPr="009B4290" w:rsidP="009B4290">
      <w:pPr>
        <w:jc w:val="both"/>
        <w:rPr>
          <w:b/>
        </w:rPr>
      </w:pPr>
      <w:r w:rsidRPr="009B4290">
        <w:t xml:space="preserve">Answer: After the conclusion of this experiment, it has been observed that it does not conform to any of the laws of the Kepler’s. </w:t>
      </w:r>
    </w:p>
    <w:p w:rsidR="00E74A13" w:rsidRPr="009B4290" w:rsidP="009B4290">
      <w:pPr>
        <w:ind w:firstLine="0"/>
        <w:rPr>
          <w:b/>
        </w:rPr>
      </w:pPr>
      <w:r w:rsidRPr="009B4290">
        <w:rPr>
          <w:b/>
        </w:rPr>
        <w:t>Conclusion</w:t>
      </w:r>
    </w:p>
    <w:p w:rsidR="00E74A13" w:rsidRPr="009B4290" w:rsidP="009B4290">
      <w:pPr>
        <w:jc w:val="both"/>
      </w:pPr>
      <w:r w:rsidRPr="009B4290">
        <w:t>During this experiment, I had faced problems in recording the observations and managing them with the variables of the tables provided. It has also remained a difficulty of adjusting the Stellarium software in accordance with the guidelines mentioned in the assignment</w:t>
      </w:r>
      <w:r w:rsidRPr="009B4290">
        <w:t xml:space="preserve">. These observations have been also mentioned in many other observations </w:t>
      </w:r>
      <w:r w:rsidRPr="009B4290">
        <w:fldChar w:fldCharType="begin"/>
      </w:r>
      <w:r w:rsidRPr="009B4290">
        <w:instrText xml:space="preserve"> ADDIN ZOTERO_ITEM CSL_CITATION {"citationID":"sb0P7cmU","properties":{"formattedCitation":"(Sparavigna, 2017)","plainCitation":"(Sparavigna, 2017)","noteIndex":0},"citationItems":[{"id":21,"uris":["http://zotero.org/users/local/s8f0QVnP/items/42DB3SWM"],"uri":["http://zotero.org/users/local/s8f0QVnP/items/42DB3SWM"],"itemData":{"id":21,"type":"article-journal","title":"Stellarium software and the occultation of Aldebaran observed by Copernicus","container-title":"Philica","volume":"2017","issue":"923","source":"Google Scholar","author":[{"family":"Sparavigna","given":"Amelia Carolina"}],"issued":{"date-parts":[["2017"]]}}}],"schema":"https://github.com/citation-style-language/schema/raw/master/csl-citation.json"} </w:instrText>
      </w:r>
      <w:r w:rsidRPr="009B4290">
        <w:fldChar w:fldCharType="separate"/>
      </w:r>
      <w:r w:rsidRPr="009B4290">
        <w:t>(</w:t>
      </w:r>
      <w:r w:rsidRPr="009B4290">
        <w:t>Sparavigna</w:t>
      </w:r>
      <w:r w:rsidRPr="009B4290">
        <w:t>, 2017)</w:t>
      </w:r>
      <w:r w:rsidRPr="009B4290">
        <w:fldChar w:fldCharType="end"/>
      </w:r>
      <w:r w:rsidRPr="009B4290">
        <w:t>. Therefore, there might be a possibility that the table reading might not get a proper adjustment with the standard readings. Thereof, the hypothesis claimed in the starting of this assignment has been hence proved. 
</w:t>
      </w:r>
      <w:bookmarkStart w:id="0" w:name="_GoBack"/>
      <w:bookmarkEnd w:id="0"/>
    </w:p>
    <w:p w:rsidR="00E74A13" w:rsidRPr="009B4290" w:rsidP="009B4290">
      <w:pPr>
        <w:jc w:val="both"/>
      </w:pPr>
    </w:p>
    <w:p w:rsidR="00E74A13" w:rsidRPr="009B4290" w:rsidP="009B4290">
      <w:pPr>
        <w:jc w:val="both"/>
      </w:pPr>
    </w:p>
    <w:p w:rsidR="00E74A13" w:rsidRPr="009B4290" w:rsidP="009B4290">
      <w:pPr>
        <w:jc w:val="both"/>
      </w:pPr>
    </w:p>
    <w:p w:rsidR="00E74A13" w:rsidRPr="009B4290" w:rsidP="009B4290">
      <w:pPr>
        <w:jc w:val="both"/>
      </w:pPr>
    </w:p>
    <w:p w:rsidR="00E74A13" w:rsidRPr="009B4290" w:rsidP="009B4290">
      <w:pPr>
        <w:jc w:val="both"/>
      </w:pPr>
    </w:p>
    <w:p w:rsidR="00E74A13" w:rsidRPr="009B4290" w:rsidP="009B4290">
      <w:pPr>
        <w:jc w:val="both"/>
      </w:pPr>
    </w:p>
    <w:p w:rsidR="00E74A13" w:rsidRPr="009B4290" w:rsidP="009B4290">
      <w:pPr>
        <w:jc w:val="both"/>
      </w:pPr>
    </w:p>
    <w:p w:rsidR="00E74A13" w:rsidRPr="009B4290" w:rsidP="009B4290">
      <w:pPr>
        <w:jc w:val="both"/>
      </w:pPr>
    </w:p>
    <w:p w:rsidR="00E74A13" w:rsidRPr="009B4290" w:rsidP="009B4290">
      <w:pPr>
        <w:jc w:val="both"/>
      </w:pPr>
    </w:p>
    <w:p w:rsidR="00E74A13" w:rsidRPr="009B4290" w:rsidP="009B4290">
      <w:pPr>
        <w:jc w:val="both"/>
      </w:pPr>
    </w:p>
    <w:p w:rsidR="00E74A13" w:rsidRPr="009B4290" w:rsidP="009B4290">
      <w:pPr>
        <w:jc w:val="both"/>
      </w:pPr>
    </w:p>
    <w:p w:rsidR="00E74A13" w:rsidRPr="009B4290" w:rsidP="009B4290">
      <w:pPr>
        <w:jc w:val="both"/>
      </w:pPr>
    </w:p>
    <w:p w:rsidR="00E74A13" w:rsidRPr="009B4290" w:rsidP="009B4290">
      <w:pPr>
        <w:jc w:val="both"/>
      </w:pPr>
    </w:p>
    <w:p w:rsidR="00E74A13" w:rsidRPr="009B4290" w:rsidP="009B4290">
      <w:pPr>
        <w:jc w:val="both"/>
        <w:rPr>
          <w:b/>
        </w:rPr>
      </w:pPr>
      <w:r w:rsidRPr="009B4290">
        <w:rPr>
          <w:b/>
        </w:rPr>
        <w:t>References</w:t>
      </w:r>
    </w:p>
    <w:p w:rsidR="00E74A13" w:rsidRPr="009B4290" w:rsidP="009B4290">
      <w:pPr>
        <w:pStyle w:val="Bibliography"/>
        <w:spacing w:line="480" w:lineRule="auto"/>
      </w:pPr>
      <w:r w:rsidRPr="009B4290">
        <w:rPr>
          <w:b/>
        </w:rPr>
        <w:fldChar w:fldCharType="begin"/>
      </w:r>
      <w:r w:rsidRPr="009B4290">
        <w:rPr>
          <w:b/>
        </w:rPr>
        <w:instrText xml:space="preserve"> ADDIN ZOTERO_BIBL {"uncited":[],"omitted":[],"custom":[]} CSL_BIBLIOGRAPHY </w:instrText>
      </w:r>
      <w:r w:rsidRPr="009B4290">
        <w:rPr>
          <w:b/>
        </w:rPr>
        <w:fldChar w:fldCharType="separate"/>
      </w:r>
      <w:r w:rsidRPr="009B4290">
        <w:t xml:space="preserve">Brown, D., 2015. Exploring </w:t>
      </w:r>
      <w:r w:rsidRPr="009B4290">
        <w:t>skyscape</w:t>
      </w:r>
      <w:r w:rsidRPr="009B4290">
        <w:t xml:space="preserve"> in Stellarium. Journal of </w:t>
      </w:r>
      <w:r w:rsidRPr="009B4290">
        <w:t>Skyscape</w:t>
      </w:r>
      <w:r w:rsidRPr="009B4290">
        <w:t xml:space="preserve"> Archaeology 1, 93–112.</w:t>
      </w:r>
    </w:p>
    <w:p w:rsidR="00E74A13" w:rsidRPr="009B4290" w:rsidP="009B4290">
      <w:pPr>
        <w:pStyle w:val="Bibliography"/>
        <w:spacing w:line="480" w:lineRule="auto"/>
      </w:pPr>
    </w:p>
    <w:p w:rsidR="00E74A13" w:rsidRPr="009B4290" w:rsidP="009B4290">
      <w:pPr>
        <w:pStyle w:val="Bibliography"/>
        <w:spacing w:line="480" w:lineRule="auto"/>
      </w:pPr>
      <w:r w:rsidRPr="009B4290">
        <w:t>Sparavigna</w:t>
      </w:r>
      <w:r w:rsidRPr="009B4290">
        <w:t xml:space="preserve">, A.C., 2017. Stellarium software and the occultation of </w:t>
      </w:r>
      <w:r w:rsidRPr="009B4290">
        <w:t>Aldebaran</w:t>
      </w:r>
      <w:r w:rsidRPr="009B4290">
        <w:t xml:space="preserve"> observed by Copernicus. </w:t>
      </w:r>
      <w:r w:rsidRPr="009B4290">
        <w:t>Philica</w:t>
      </w:r>
      <w:r w:rsidRPr="009B4290">
        <w:t xml:space="preserve"> 2017.</w:t>
      </w:r>
    </w:p>
    <w:p w:rsidR="00E74A13" w:rsidRPr="00E74A13" w:rsidP="009B4290">
      <w:pPr>
        <w:jc w:val="both"/>
        <w:rPr>
          <w:b/>
        </w:rPr>
      </w:pPr>
      <w:r w:rsidRPr="009B4290">
        <w:rPr>
          <w:b/>
        </w:rPr>
        <w:fldChar w:fldCharType="end"/>
      </w:r>
    </w:p>
    <w:p w:rsidR="002A2A03" w:rsidP="00E74A13">
      <w:pPr>
        <w:ind w:firstLine="0"/>
        <w:jc w:val="center"/>
      </w:pP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290">
      <w:rPr>
        <w:rStyle w:val="PageNumber"/>
        <w:noProof/>
      </w:rPr>
      <w:t>5</w:t>
    </w:r>
    <w:r>
      <w:rPr>
        <w:rStyle w:val="PageNumber"/>
      </w:rPr>
      <w:fldChar w:fldCharType="end"/>
    </w:r>
  </w:p>
  <w:p w:rsidR="002A2A03">
    <w:pPr>
      <w:pStyle w:val="Header"/>
      <w:ind w:right="360" w:firstLine="0"/>
    </w:pPr>
    <w:r>
      <w:t>Understanding Planetary Motions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290">
      <w:rPr>
        <w:rStyle w:val="PageNumber"/>
        <w:noProof/>
      </w:rPr>
      <w:t>1</w:t>
    </w:r>
    <w:r>
      <w:rPr>
        <w:rStyle w:val="PageNumber"/>
      </w:rPr>
      <w:fldChar w:fldCharType="end"/>
    </w:r>
  </w:p>
  <w:p w:rsidR="002A2A03">
    <w:pPr>
      <w:ind w:right="360" w:firstLine="0"/>
    </w:pPr>
    <w:r>
      <w:t>ASTRONOMY</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B0A32"/>
    <w:rsid w:val="000E3604"/>
    <w:rsid w:val="001A0A79"/>
    <w:rsid w:val="002A2A03"/>
    <w:rsid w:val="0039541C"/>
    <w:rsid w:val="005A0A6D"/>
    <w:rsid w:val="009B4290"/>
    <w:rsid w:val="00A54E57"/>
    <w:rsid w:val="00B70973"/>
    <w:rsid w:val="00C67138"/>
    <w:rsid w:val="00CF29F0"/>
    <w:rsid w:val="00E74A13"/>
    <w:rsid w:val="00ED36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4BDDD21-4307-4CA6-9C78-F9286323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E74A13"/>
    <w:pPr>
      <w:spacing w:after="160" w:line="259"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unhideWhenUsed/>
    <w:rsid w:val="00E74A13"/>
    <w:pPr>
      <w:spacing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7</cp:revision>
  <dcterms:created xsi:type="dcterms:W3CDTF">2010-03-04T15:14:00Z</dcterms:created>
  <dcterms:modified xsi:type="dcterms:W3CDTF">2019-04-13T09:49:00Z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id="SSOcBBN0"/&gt;&lt;style id="http://www.zotero.org/styles/elsevier-harvard" hasBibliography="1" bibliographyStyleHasBeenSet="1"/&gt;&lt;prefs&gt;&lt;pref name="fieldType" value="Field"/&gt;&lt;/prefs&gt;&lt;/data&gt;</vt:lpwstr>
  </property>
</Properties>
</file>