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5D53BA">
      <w:pPr>
        <w:pStyle w:val="Title"/>
      </w:pPr>
      <w:bookmarkStart w:id="0" w:name="_GoBack"/>
      <w:bookmarkEnd w:id="0"/>
      <w:r>
        <w:t xml:space="preserve">Patient Safety Culture in the Healthcare Workplace- Reflective Paper </w:t>
      </w:r>
    </w:p>
    <w:p w:rsidR="00B823AA" w:rsidRDefault="00B823AA" w:rsidP="00B823AA">
      <w:pPr>
        <w:pStyle w:val="Title2"/>
      </w:pPr>
    </w:p>
    <w:p w:rsidR="00E81978" w:rsidRDefault="00E81978"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FB2AF8" w:rsidRDefault="005D53BA" w:rsidP="00FB2AF8">
      <w:pPr>
        <w:pStyle w:val="Title"/>
      </w:pPr>
      <w:r>
        <w:lastRenderedPageBreak/>
        <w:t>Patient Safety Culture in the Healthcare Workplace- Reflective Paper</w:t>
      </w:r>
    </w:p>
    <w:p w:rsidR="00F36130" w:rsidRDefault="005D53BA" w:rsidP="00641124">
      <w:r>
        <w:t xml:space="preserve">Patient safety is the primary determinant of the quality of healthcare throughout the world. </w:t>
      </w:r>
      <w:r w:rsidR="00860DA3">
        <w:t>In</w:t>
      </w:r>
      <w:r w:rsidR="00E816CA">
        <w:t xml:space="preserve"> the United States, it </w:t>
      </w:r>
      <w:r w:rsidR="00CF0134">
        <w:t xml:space="preserve">is a </w:t>
      </w:r>
      <w:r w:rsidR="00E816CA">
        <w:t xml:space="preserve">documented fact, that poor quality of healthcare has remained a leading cause of </w:t>
      </w:r>
      <w:r w:rsidR="00860DA3">
        <w:t xml:space="preserve">death. </w:t>
      </w:r>
      <w:r w:rsidR="00E816CA">
        <w:t xml:space="preserve">Another feature of </w:t>
      </w:r>
      <w:r w:rsidR="00B26514">
        <w:t xml:space="preserve">a poor healthcare environment </w:t>
      </w:r>
      <w:r w:rsidR="00E816CA">
        <w:t xml:space="preserve">remains the </w:t>
      </w:r>
      <w:r w:rsidR="00CF0134">
        <w:t xml:space="preserve">cases of injuries </w:t>
      </w:r>
      <w:r w:rsidR="00B26514">
        <w:t xml:space="preserve">at </w:t>
      </w:r>
      <w:r w:rsidR="00CF0134">
        <w:t xml:space="preserve">the workplace and illness </w:t>
      </w:r>
      <w:r w:rsidR="00B26514">
        <w:t xml:space="preserve">the healthcare workers dwell, which ultimately affects the patient's health safety. It is for such reasons that patient and worker safety are considered inter-relatedd and complimentary for each other. </w:t>
      </w:r>
      <w:r w:rsidR="00490E40">
        <w:t>The report published by the Institution of Medicine in 1999 revealed some eye opening facts about the patient safety</w:t>
      </w:r>
      <w:r w:rsidR="00BF6A64">
        <w:t xml:space="preserve"> </w:t>
      </w:r>
      <w:r w:rsidR="00BF6A64">
        <w:fldChar w:fldCharType="begin"/>
      </w:r>
      <w:r w:rsidR="00BF6A64">
        <w:instrText xml:space="preserve"> ADDIN ZOTERO_ITEM CSL_CITATION {"citationID":"xqbFbRzF","properties":{"formattedCitation":"(Liang &amp; Brach, 2017)","plainCitation":"(Liang &amp; Brach, 2017)","noteIndex":0},"citationItems":[{"id":540,"uris":["http://zotero.org/users/local/s8f0QVnP/items/4WG97BYS"],"uri":["http://zotero.org/users/local/s8f0QVnP/items/4WG97BYS"],"itemData":{"id":540,"type":"article-journal","title":"Health literacy universal precautions are still a distant dream: Analysis of US data on health literate practices","container-title":"HLRP: Health Literacy Research and Practice","page":"e216–e230","volume":"1","issue":"4","source":"Google Scholar","title-short":"Health literacy universal precautions are still a distant dream","author":[{"family":"Liang","given":"Lan"},{"family":"Brach","given":"Cindy"}],"issued":{"date-parts":[["2017"]]}}}],"schema":"https://github.com/citation-style-language/schema/raw/master/csl-citation.json"} </w:instrText>
      </w:r>
      <w:r w:rsidR="00BF6A64">
        <w:fldChar w:fldCharType="separate"/>
      </w:r>
      <w:r w:rsidR="00BF6A64" w:rsidRPr="00BF6A64">
        <w:rPr>
          <w:rFonts w:ascii="Times New Roman" w:hAnsi="Times New Roman" w:cs="Times New Roman"/>
        </w:rPr>
        <w:t>(Liang &amp; Brach, 2017)</w:t>
      </w:r>
      <w:r w:rsidR="00BF6A64">
        <w:fldChar w:fldCharType="end"/>
      </w:r>
      <w:r w:rsidR="00490E40">
        <w:t>. It stated that around 44,000 to 98,000 people lose their lives as the outcome of the medical errors. The primary reason the report cites is that such injuries are not the consequence of patient conditions, rather the environment they interact with in the health</w:t>
      </w:r>
      <w:r w:rsidR="00837684">
        <w:t>care institution.</w:t>
      </w:r>
    </w:p>
    <w:p w:rsidR="00837684" w:rsidRDefault="005D53BA" w:rsidP="00641124">
      <w:r>
        <w:t xml:space="preserve">In addition to some disturbing facts, </w:t>
      </w:r>
      <w:r w:rsidR="00D7339A">
        <w:t xml:space="preserve">the report </w:t>
      </w:r>
      <w:r>
        <w:t xml:space="preserve">suggested some ways for creating conditions that can benefit in the safety of workers along with creating a safe </w:t>
      </w:r>
      <w:r w:rsidR="00E367BF">
        <w:t>work</w:t>
      </w:r>
      <w:r>
        <w:t xml:space="preserve"> related environment.</w:t>
      </w:r>
      <w:r>
        <w:t xml:space="preserve"> </w:t>
      </w:r>
      <w:r w:rsidR="00E367BF">
        <w:t xml:space="preserve">It also includes a lack of awareness among people who don't consider this a cultural and systematic issue. </w:t>
      </w:r>
      <w:r w:rsidR="00106D49">
        <w:t>The health care workers become the recipients of viruses because of the lapses in infection control, faulty equipment, and exhaustion</w:t>
      </w:r>
      <w:r w:rsidR="00641124">
        <w:t xml:space="preserve"> </w:t>
      </w:r>
      <w:r w:rsidR="00641124">
        <w:fldChar w:fldCharType="begin"/>
      </w:r>
      <w:r w:rsidR="00641124">
        <w:instrText xml:space="preserve"> ADDIN ZOTERO_ITEM CSL_CITATION {"citationID":"GMAfFQax","properties":{"formattedCitation":"(\\uc0\\u8220{}Safety and Health Topics | Healthcare\\uc0\\u8212{}Organizational Safety Culture\\uc0\\u8212{}Linking patient and worker safety | Occupational Safety and Health Administration,\\uc0\\u8221{} n.d.)","plainCitation":"(“Safety and Health Topics | Healthcare—Organizational Safety Culture—Linking patient and worker safety | Occupational Safety and Health Administration,” n.d.)","noteIndex":0},"citationItems":[{"id":532,"uris":["http://zotero.org/users/local/s8f0QVnP/items/RSXRUX68"],"uri":["http://zotero.org/users/local/s8f0QVnP/items/RSXRUX68"],"itemData":{"id":532,"type":"webpage","title":"Safety and Health Topics | Healthcare - Organizational Safety Culture - Linking patient and worker safety | Occupational Safety and Health Administration","URL":"https://www.osha.gov/SLTC/healthcarefacilities/safetyculture.html","accessed":{"date-parts":[["2019",10,4]]}}}],"schema":"https://github.com/citation-style-language/schema/raw/master/csl-citation.json"} </w:instrText>
      </w:r>
      <w:r w:rsidR="00641124">
        <w:fldChar w:fldCharType="separate"/>
      </w:r>
      <w:r w:rsidR="00641124" w:rsidRPr="00641124">
        <w:rPr>
          <w:rFonts w:ascii="Times New Roman" w:hAnsi="Times New Roman" w:cs="Times New Roman"/>
        </w:rPr>
        <w:t>(“Safety and Health Topics | Healthcare—Organizational Safety Culture—Linking patient and worker safety | Occupational Safety and Health Administration,” n.d.)</w:t>
      </w:r>
      <w:r w:rsidR="00641124">
        <w:fldChar w:fldCharType="end"/>
      </w:r>
      <w:r w:rsidR="00106D49">
        <w:t xml:space="preserve">.  </w:t>
      </w:r>
      <w:r w:rsidR="00FE630F">
        <w:t xml:space="preserve">The only way, a health care worker, can efficiently perform his duty is the absence of threat and confidence over the health care mechanism at the workplace. </w:t>
      </w:r>
      <w:r w:rsidR="00E1067A">
        <w:t>The report went on to emphasize the worst aspect of failure in such systems and the benefits which can arise from limiting such errors. It concludes by referring to a critically linked aspect, which is the reduction in medical error with the benefits of preventing workers related injuries.</w:t>
      </w:r>
    </w:p>
    <w:p w:rsidR="00F050E4" w:rsidRDefault="005D53BA" w:rsidP="00641124">
      <w:pPr>
        <w:rPr>
          <w:rFonts w:ascii="Times New Roman" w:hAnsi="Times New Roman" w:cs="Times New Roman"/>
        </w:rPr>
      </w:pPr>
      <w:r>
        <w:lastRenderedPageBreak/>
        <w:t xml:space="preserve">In addition to the 1999 report, many other studies reasoned the organizational faults as the primary predictor </w:t>
      </w:r>
      <w:r w:rsidR="009A2D7B">
        <w:t>death in health care institutions</w:t>
      </w:r>
      <w:r w:rsidR="00BF6A64">
        <w:t xml:space="preserve"> </w:t>
      </w:r>
      <w:r w:rsidR="00BF6A64">
        <w:fldChar w:fldCharType="begin"/>
      </w:r>
      <w:r w:rsidR="00BF6A64">
        <w:instrText xml:space="preserve"> ADDIN ZOTERO_ITEM CSL_CITATION {"citationID":"ZHIt0yQT","properties":{"formattedCitation":"(Liang &amp; Brach, 2017)","plainCitation":"(Liang &amp; Brach, 2017)","noteIndex":0},"citationItems":[{"id":540,"uris":["http://zotero.org/users/local/s8f0QVnP/items/4WG97BYS"],"uri":["http://zotero.org/users/local/s8f0QVnP/items/4WG97BYS"],"itemData":{"id":540,"type":"article-journal","title":"Health literacy universal precautions are still a distant dream: Analysis of US data on health literate practices","container-title":"HLRP: Health Literacy Research and Practice","page":"e216–e230","volume":"1","issue":"4","source":"Google Scholar","title-short":"Health literacy universal precautions are still a distant dream","author":[{"family":"Liang","given":"Lan"},{"family":"Brach","given":"Cindy"}],"issued":{"date-parts":[["2017"]]}}}],"schema":"https://github.com/citation-style-language/schema/raw/master/csl-citation.json"} </w:instrText>
      </w:r>
      <w:r w:rsidR="00BF6A64">
        <w:fldChar w:fldCharType="separate"/>
      </w:r>
      <w:r w:rsidR="00BF6A64" w:rsidRPr="00BF6A64">
        <w:rPr>
          <w:rFonts w:ascii="Times New Roman" w:hAnsi="Times New Roman" w:cs="Times New Roman"/>
        </w:rPr>
        <w:t>(Liang &amp; Brach, 2017)</w:t>
      </w:r>
      <w:r w:rsidR="00BF6A64">
        <w:fldChar w:fldCharType="end"/>
      </w:r>
      <w:r w:rsidR="009A2D7B">
        <w:t xml:space="preserve">. </w:t>
      </w:r>
      <w:r w:rsidR="00D7339A">
        <w:t>S</w:t>
      </w:r>
      <w:r w:rsidR="009A2D7B">
        <w:t>tudies show that both patients and the health care workers tend to comply with the standard precautions</w:t>
      </w:r>
      <w:r w:rsidR="00C04AAD">
        <w:t xml:space="preserve"> if the institution shows a strong will to comply with the safety and standard precautions. </w:t>
      </w:r>
      <w:r w:rsidR="006854D5">
        <w:t>H</w:t>
      </w:r>
      <w:r w:rsidR="00C04AAD">
        <w:t xml:space="preserve">ealth care workers </w:t>
      </w:r>
      <w:r w:rsidR="006854D5">
        <w:t xml:space="preserve">also show confidence when they </w:t>
      </w:r>
      <w:r w:rsidR="00DE65C3">
        <w:t>experience</w:t>
      </w:r>
      <w:r w:rsidR="006854D5">
        <w:t xml:space="preserve"> interventions focused on improving the organizational support for employees. </w:t>
      </w:r>
      <w:r w:rsidR="00DE65C3">
        <w:t xml:space="preserve">The organizational safety culture also suggests that non- compliance with the safety and control guidance </w:t>
      </w:r>
      <w:r w:rsidR="00404C4C">
        <w:t xml:space="preserve">by the healthcare workers contributes to expanded infections and new problems in </w:t>
      </w:r>
      <w:r w:rsidR="00404C4C" w:rsidRPr="00404C4C">
        <w:rPr>
          <w:rFonts w:ascii="Times New Roman" w:hAnsi="Times New Roman" w:cs="Times New Roman"/>
        </w:rPr>
        <w:t>healthcare. The Centers for Disease Control and Prevention's Healthcare Infection Control Practices Advisory Committee</w:t>
      </w:r>
      <w:r w:rsidR="00404C4C">
        <w:rPr>
          <w:rFonts w:ascii="Times New Roman" w:hAnsi="Times New Roman" w:cs="Times New Roman"/>
        </w:rPr>
        <w:t xml:space="preserve"> suggested that increase</w:t>
      </w:r>
      <w:r w:rsidR="00747C09">
        <w:rPr>
          <w:rFonts w:ascii="Times New Roman" w:hAnsi="Times New Roman" w:cs="Times New Roman"/>
        </w:rPr>
        <w:t>d</w:t>
      </w:r>
      <w:r w:rsidR="00404C4C">
        <w:rPr>
          <w:rFonts w:ascii="Times New Roman" w:hAnsi="Times New Roman" w:cs="Times New Roman"/>
        </w:rPr>
        <w:t xml:space="preserve"> measures of safety are linked with the adherence to the healthcare preca</w:t>
      </w:r>
      <w:r w:rsidR="00747C09">
        <w:rPr>
          <w:rFonts w:ascii="Times New Roman" w:hAnsi="Times New Roman" w:cs="Times New Roman"/>
        </w:rPr>
        <w:t>utions by both the patients and the healthcare workers</w:t>
      </w:r>
      <w:r w:rsidR="00BF6A64">
        <w:rPr>
          <w:rFonts w:ascii="Times New Roman" w:hAnsi="Times New Roman" w:cs="Times New Roman"/>
        </w:rPr>
        <w:t xml:space="preserve"> </w:t>
      </w:r>
      <w:r w:rsidR="00BF6A64">
        <w:rPr>
          <w:rFonts w:ascii="Times New Roman" w:hAnsi="Times New Roman" w:cs="Times New Roman"/>
        </w:rPr>
        <w:fldChar w:fldCharType="begin"/>
      </w:r>
      <w:r w:rsidR="00BF6A64">
        <w:rPr>
          <w:rFonts w:ascii="Times New Roman" w:hAnsi="Times New Roman" w:cs="Times New Roman"/>
        </w:rPr>
        <w:instrText xml:space="preserve"> ADDIN ZOTERO_ITEM CSL_CITATION {"citationID":"qgHubIqi","properties":{"formattedCitation":"(Joyce, Kuhar, &amp; Brooks, 2015)","plainCitation":"(Joyce, Kuhar, &amp; Brooks, 2015)","noteIndex":0},"citationItems":[{"id":543,"uris":["http://zotero.org/users/local/s8f0QVnP/items/TX6S89QZ"],"uri":["http://zotero.org/users/local/s8f0QVnP/items/TX6S89QZ"],"itemData":{"id":543,"type":"article-journal","title":"Occupationally Acquired HIV Infection Among Health Care Workers—United States, 1985–2013","container-title":"MMWR. Morbidity and mortality weekly report","page":"1245","volume":"63","issue":"53","source":"Google Scholar","author":[{"family":"Joyce","given":"M. Patricia"},{"family":"Kuhar","given":"David"},{"family":"Brooks","given":"John T."}],"issued":{"date-parts":[["2015"]]}}}],"schema":"https://github.com/citation-style-language/schema/raw/master/csl-citation.json"} </w:instrText>
      </w:r>
      <w:r w:rsidR="00BF6A64">
        <w:rPr>
          <w:rFonts w:ascii="Times New Roman" w:hAnsi="Times New Roman" w:cs="Times New Roman"/>
        </w:rPr>
        <w:fldChar w:fldCharType="separate"/>
      </w:r>
      <w:r w:rsidR="00BF6A64" w:rsidRPr="00BF6A64">
        <w:rPr>
          <w:rFonts w:ascii="Times New Roman" w:hAnsi="Times New Roman" w:cs="Times New Roman"/>
        </w:rPr>
        <w:t>(Joyce, Kuhar, &amp; Brooks, 2015)</w:t>
      </w:r>
      <w:r w:rsidR="00BF6A64">
        <w:rPr>
          <w:rFonts w:ascii="Times New Roman" w:hAnsi="Times New Roman" w:cs="Times New Roman"/>
        </w:rPr>
        <w:fldChar w:fldCharType="end"/>
      </w:r>
      <w:r w:rsidR="00747C09">
        <w:rPr>
          <w:rFonts w:ascii="Times New Roman" w:hAnsi="Times New Roman" w:cs="Times New Roman"/>
        </w:rPr>
        <w:t xml:space="preserve">. For them, the </w:t>
      </w:r>
      <w:r w:rsidR="00AD1EB9">
        <w:rPr>
          <w:rFonts w:ascii="Times New Roman" w:hAnsi="Times New Roman" w:cs="Times New Roman"/>
        </w:rPr>
        <w:t xml:space="preserve">organizational characteristics, adherence to personal healthcare, and hospital-based safety settings remain the </w:t>
      </w:r>
      <w:r w:rsidR="00AE7D1B">
        <w:rPr>
          <w:rFonts w:ascii="Times New Roman" w:hAnsi="Times New Roman" w:cs="Times New Roman"/>
        </w:rPr>
        <w:t>primary drivers for creating a safety cult</w:t>
      </w:r>
      <w:r>
        <w:rPr>
          <w:rFonts w:ascii="Times New Roman" w:hAnsi="Times New Roman" w:cs="Times New Roman"/>
        </w:rPr>
        <w:t>ure.</w:t>
      </w:r>
    </w:p>
    <w:p w:rsidR="00641124" w:rsidRDefault="005D53BA" w:rsidP="00641124">
      <w:r>
        <w:rPr>
          <w:rFonts w:ascii="Times New Roman" w:hAnsi="Times New Roman" w:cs="Times New Roman"/>
        </w:rPr>
        <w:t xml:space="preserve">Despite </w:t>
      </w:r>
      <w:r w:rsidR="00CF1C1B">
        <w:rPr>
          <w:rFonts w:ascii="Times New Roman" w:hAnsi="Times New Roman" w:cs="Times New Roman"/>
        </w:rPr>
        <w:t xml:space="preserve">the release of various reports concerning patient care and the safety of the health care workers, </w:t>
      </w:r>
      <w:r w:rsidR="008E4449">
        <w:rPr>
          <w:rFonts w:ascii="Times New Roman" w:hAnsi="Times New Roman" w:cs="Times New Roman"/>
        </w:rPr>
        <w:t xml:space="preserve">there </w:t>
      </w:r>
      <w:r w:rsidR="00D7339A">
        <w:rPr>
          <w:rFonts w:ascii="Times New Roman" w:hAnsi="Times New Roman" w:cs="Times New Roman"/>
        </w:rPr>
        <w:t>has been no</w:t>
      </w:r>
      <w:r w:rsidR="008E4449">
        <w:rPr>
          <w:rFonts w:ascii="Times New Roman" w:hAnsi="Times New Roman" w:cs="Times New Roman"/>
        </w:rPr>
        <w:t xml:space="preserve"> significant improvement in the safety mechanism adopted by the health care institutions. The safety and health management </w:t>
      </w:r>
      <w:r w:rsidR="00355AD3">
        <w:rPr>
          <w:rFonts w:ascii="Times New Roman" w:hAnsi="Times New Roman" w:cs="Times New Roman"/>
        </w:rPr>
        <w:t xml:space="preserve">systems </w:t>
      </w:r>
      <w:r w:rsidR="008E4449">
        <w:rPr>
          <w:rFonts w:ascii="Times New Roman" w:hAnsi="Times New Roman" w:cs="Times New Roman"/>
        </w:rPr>
        <w:t>in hospitals suggest that workplace hazards should be comprehensive and proactive in nature</w:t>
      </w:r>
      <w:r w:rsidR="00BF6A64">
        <w:rPr>
          <w:rFonts w:ascii="Times New Roman" w:hAnsi="Times New Roman" w:cs="Times New Roman"/>
        </w:rPr>
        <w:t xml:space="preserve"> </w:t>
      </w:r>
      <w:r w:rsidR="00BF6A64">
        <w:rPr>
          <w:rFonts w:ascii="Times New Roman" w:hAnsi="Times New Roman" w:cs="Times New Roman"/>
        </w:rPr>
        <w:fldChar w:fldCharType="begin"/>
      </w:r>
      <w:r w:rsidR="00BF6A64">
        <w:rPr>
          <w:rFonts w:ascii="Times New Roman" w:hAnsi="Times New Roman" w:cs="Times New Roman"/>
        </w:rPr>
        <w:instrText xml:space="preserve"> ADDIN ZOTERO_ITEM CSL_CITATION {"citationID":"fJAjSUR2","properties":{"formattedCitation":"(Morgan, Wenzel, &amp; Bearman, 2017)","plainCitation":"(Morgan, Wenzel, &amp; Bearman, 2017)","noteIndex":0},"citationItems":[{"id":539,"uris":["http://zotero.org/users/local/s8f0QVnP/items/J8RNA7N3"],"uri":["http://zotero.org/users/local/s8f0QVnP/items/J8RNA7N3"],"itemData":{"id":539,"type":"article-journal","title":"Contact precautions for endemic MRSA and VRE: time to retire legal mandates","container-title":"Jama","page":"329–330","volume":"318","issue":"4","source":"Google Scholar","title-short":"Contact precautions for endemic MRSA and VRE","author":[{"family":"Morgan","given":"Daniel J."},{"family":"Wenzel","given":"Richard P."},{"family":"Bearman","given":"Gonzalo"}],"issued":{"date-parts":[["2017"]]}}}],"schema":"https://github.com/citation-style-language/schema/raw/master/csl-citation.json"} </w:instrText>
      </w:r>
      <w:r w:rsidR="00BF6A64">
        <w:rPr>
          <w:rFonts w:ascii="Times New Roman" w:hAnsi="Times New Roman" w:cs="Times New Roman"/>
        </w:rPr>
        <w:fldChar w:fldCharType="separate"/>
      </w:r>
      <w:r w:rsidR="00BF6A64" w:rsidRPr="00BF6A64">
        <w:rPr>
          <w:rFonts w:ascii="Times New Roman" w:hAnsi="Times New Roman" w:cs="Times New Roman"/>
        </w:rPr>
        <w:t>(Morgan, Wenzel, &amp; Bearman, 2017)</w:t>
      </w:r>
      <w:r w:rsidR="00BF6A64">
        <w:rPr>
          <w:rFonts w:ascii="Times New Roman" w:hAnsi="Times New Roman" w:cs="Times New Roman"/>
        </w:rPr>
        <w:fldChar w:fldCharType="end"/>
      </w:r>
      <w:r w:rsidR="008E4449">
        <w:rPr>
          <w:rFonts w:ascii="Times New Roman" w:hAnsi="Times New Roman" w:cs="Times New Roman"/>
        </w:rPr>
        <w:t xml:space="preserve">. </w:t>
      </w:r>
      <w:r w:rsidR="00355AD3">
        <w:rPr>
          <w:rFonts w:ascii="Times New Roman" w:hAnsi="Times New Roman" w:cs="Times New Roman"/>
        </w:rPr>
        <w:t xml:space="preserve">It can be achieved by reducing the associated costs and improving the quality of care. Similarly, the OSHA's voluntary protection program </w:t>
      </w:r>
      <w:r w:rsidR="001C5CE1">
        <w:rPr>
          <w:rFonts w:ascii="Times New Roman" w:hAnsi="Times New Roman" w:cs="Times New Roman"/>
        </w:rPr>
        <w:t xml:space="preserve">distinguishes the employers and workers from the private and federal industry who remain the initiators of effective safety and health </w:t>
      </w:r>
      <w:r w:rsidR="00115BEB">
        <w:rPr>
          <w:rFonts w:ascii="Times New Roman" w:hAnsi="Times New Roman" w:cs="Times New Roman"/>
        </w:rPr>
        <w:t>management.</w:t>
      </w:r>
      <w:r w:rsidR="00081969">
        <w:rPr>
          <w:rFonts w:ascii="Times New Roman" w:hAnsi="Times New Roman" w:cs="Times New Roman"/>
        </w:rPr>
        <w:t xml:space="preserve"> The IOM report, in this regard, stresses the need for laying </w:t>
      </w:r>
      <w:r w:rsidR="00081969" w:rsidRPr="00CE4903">
        <w:t>a comprehensive strategy that should be enacted by federal or state governments. Similar to this,</w:t>
      </w:r>
      <w:r w:rsidR="00CE4903">
        <w:t xml:space="preserve"> the Lucia Leape Institute </w:t>
      </w:r>
      <w:r w:rsidR="00393322" w:rsidRPr="00CE4903">
        <w:t>focuses on the need for identifying and transforming</w:t>
      </w:r>
      <w:r w:rsidR="00393322">
        <w:t xml:space="preserve"> </w:t>
      </w:r>
      <w:r w:rsidR="00D178AB">
        <w:t xml:space="preserve">the vital framework of patient and </w:t>
      </w:r>
      <w:r w:rsidR="00D178AB">
        <w:lastRenderedPageBreak/>
        <w:t xml:space="preserve">worker </w:t>
      </w:r>
      <w:r w:rsidR="00BF6A64">
        <w:t>health</w:t>
      </w:r>
      <w:r w:rsidR="00D178AB">
        <w:t xml:space="preserve"> care safety</w:t>
      </w:r>
      <w:r w:rsidR="00BF6A64">
        <w:t xml:space="preserve"> </w:t>
      </w:r>
      <w:r w:rsidR="00BF6A64">
        <w:fldChar w:fldCharType="begin"/>
      </w:r>
      <w:r w:rsidR="00BF6A64">
        <w:instrText xml:space="preserve"> ADDIN ZOTERO_ITEM CSL_CITATION {"citationID":"6aOEVTk7","properties":{"formattedCitation":"(Morgan et al., 2017)","plainCitation":"(Morgan et al., 2017)","noteIndex":0},"citationItems":[{"id":539,"uris":["http://zotero.org/users/local/s8f0QVnP/items/J8RNA7N3"],"uri":["http://zotero.org/users/local/s8f0QVnP/items/J8RNA7N3"],"itemData":{"id":539,"type":"article-journal","title":"Contact precautions for endemic MRSA and VRE: time to retire legal mandates","container-title":"Jama","page":"329–330","volume":"318","issue":"4","source":"Google Scholar","title-short":"Contact precautions for endemic MRSA and VRE","author":[{"family":"Morgan","given":"Daniel J."},{"family":"Wenzel","given":"Richard P."},{"family":"Bearman","given":"Gonzalo"}],"issued":{"date-parts":[["2017"]]}}}],"schema":"https://github.com/citation-style-language/schema/raw/master/csl-citation.json"} </w:instrText>
      </w:r>
      <w:r w:rsidR="00BF6A64">
        <w:fldChar w:fldCharType="separate"/>
      </w:r>
      <w:r w:rsidR="00BF6A64" w:rsidRPr="00BF6A64">
        <w:rPr>
          <w:rFonts w:ascii="Times New Roman" w:hAnsi="Times New Roman" w:cs="Times New Roman"/>
        </w:rPr>
        <w:t>(Morgan et al., 2017)</w:t>
      </w:r>
      <w:r w:rsidR="00BF6A64">
        <w:fldChar w:fldCharType="end"/>
      </w:r>
      <w:r w:rsidR="00D178AB">
        <w:t xml:space="preserve">. </w:t>
      </w:r>
      <w:r w:rsidR="00290241">
        <w:t xml:space="preserve">Lastly, the paper titled healthcare without harm, improving patient and worker safety: Opportunities for synergy, collaboration and innovation, and the NORA health care and social assistance sector council </w:t>
      </w:r>
      <w:r w:rsidR="00100ED8">
        <w:t xml:space="preserve">talks about how to achieve sustained improvements in workplace practices. </w:t>
      </w:r>
      <w:r w:rsidR="00290241">
        <w:t xml:space="preserve"> </w:t>
      </w:r>
    </w:p>
    <w:p w:rsidR="00641124" w:rsidRDefault="005D53BA">
      <w:r>
        <w:br w:type="page"/>
      </w:r>
    </w:p>
    <w:p w:rsidR="00F050E4" w:rsidRDefault="005D53BA" w:rsidP="00641124">
      <w:pPr>
        <w:pStyle w:val="Heading1"/>
      </w:pPr>
      <w:r>
        <w:lastRenderedPageBreak/>
        <w:t>References:</w:t>
      </w:r>
    </w:p>
    <w:p w:rsidR="00BF6A64" w:rsidRPr="00BF6A64" w:rsidRDefault="005D53BA" w:rsidP="00BF6A64">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BF6A64">
        <w:rPr>
          <w:rFonts w:ascii="Times New Roman" w:hAnsi="Times New Roman" w:cs="Times New Roman"/>
        </w:rPr>
        <w:t xml:space="preserve">Joyce, M. P., Kuhar, D., &amp; Brooks, J. T. (2015). Occupationally Acquired HIV Infection Among Health Care Workers—United States, 1985–2013. </w:t>
      </w:r>
      <w:r w:rsidRPr="00BF6A64">
        <w:rPr>
          <w:rFonts w:ascii="Times New Roman" w:hAnsi="Times New Roman" w:cs="Times New Roman"/>
          <w:i/>
          <w:iCs/>
        </w:rPr>
        <w:t>MMWR. Morbidity and Mortality Weekly Report</w:t>
      </w:r>
      <w:r w:rsidRPr="00BF6A64">
        <w:rPr>
          <w:rFonts w:ascii="Times New Roman" w:hAnsi="Times New Roman" w:cs="Times New Roman"/>
        </w:rPr>
        <w:t xml:space="preserve">, </w:t>
      </w:r>
      <w:r w:rsidRPr="00BF6A64">
        <w:rPr>
          <w:rFonts w:ascii="Times New Roman" w:hAnsi="Times New Roman" w:cs="Times New Roman"/>
          <w:i/>
          <w:iCs/>
        </w:rPr>
        <w:t>63</w:t>
      </w:r>
      <w:r w:rsidRPr="00BF6A64">
        <w:rPr>
          <w:rFonts w:ascii="Times New Roman" w:hAnsi="Times New Roman" w:cs="Times New Roman"/>
        </w:rPr>
        <w:t>(53), 1245.</w:t>
      </w:r>
    </w:p>
    <w:p w:rsidR="00BF6A64" w:rsidRPr="00BF6A64" w:rsidRDefault="005D53BA" w:rsidP="00BF6A64">
      <w:pPr>
        <w:pStyle w:val="Bibliography"/>
        <w:rPr>
          <w:rFonts w:ascii="Times New Roman" w:hAnsi="Times New Roman" w:cs="Times New Roman"/>
        </w:rPr>
      </w:pPr>
      <w:r w:rsidRPr="00BF6A64">
        <w:rPr>
          <w:rFonts w:ascii="Times New Roman" w:hAnsi="Times New Roman" w:cs="Times New Roman"/>
        </w:rPr>
        <w:t>Liang, L., &amp; Brach, C. (2017). Health literacy universal p</w:t>
      </w:r>
      <w:r w:rsidRPr="00BF6A64">
        <w:rPr>
          <w:rFonts w:ascii="Times New Roman" w:hAnsi="Times New Roman" w:cs="Times New Roman"/>
        </w:rPr>
        <w:t xml:space="preserve">recautions are still a distant dream: Analysis of US data on health literate practices. </w:t>
      </w:r>
      <w:r w:rsidRPr="00BF6A64">
        <w:rPr>
          <w:rFonts w:ascii="Times New Roman" w:hAnsi="Times New Roman" w:cs="Times New Roman"/>
          <w:i/>
          <w:iCs/>
        </w:rPr>
        <w:t>HLRP: Health Literacy Research and Practice</w:t>
      </w:r>
      <w:r w:rsidRPr="00BF6A64">
        <w:rPr>
          <w:rFonts w:ascii="Times New Roman" w:hAnsi="Times New Roman" w:cs="Times New Roman"/>
        </w:rPr>
        <w:t xml:space="preserve">, </w:t>
      </w:r>
      <w:r w:rsidRPr="00BF6A64">
        <w:rPr>
          <w:rFonts w:ascii="Times New Roman" w:hAnsi="Times New Roman" w:cs="Times New Roman"/>
          <w:i/>
          <w:iCs/>
        </w:rPr>
        <w:t>1</w:t>
      </w:r>
      <w:r w:rsidRPr="00BF6A64">
        <w:rPr>
          <w:rFonts w:ascii="Times New Roman" w:hAnsi="Times New Roman" w:cs="Times New Roman"/>
        </w:rPr>
        <w:t>(4), e216–e230.</w:t>
      </w:r>
    </w:p>
    <w:p w:rsidR="00BF6A64" w:rsidRPr="00BF6A64" w:rsidRDefault="005D53BA" w:rsidP="00BF6A64">
      <w:pPr>
        <w:pStyle w:val="Bibliography"/>
        <w:rPr>
          <w:rFonts w:ascii="Times New Roman" w:hAnsi="Times New Roman" w:cs="Times New Roman"/>
        </w:rPr>
      </w:pPr>
      <w:r w:rsidRPr="00BF6A64">
        <w:rPr>
          <w:rFonts w:ascii="Times New Roman" w:hAnsi="Times New Roman" w:cs="Times New Roman"/>
        </w:rPr>
        <w:t xml:space="preserve">Morgan, D. J., Wenzel, R. P., &amp; Bearman, G. (2017). Contact precautions for endemic MRSA and VRE: Time to </w:t>
      </w:r>
      <w:r w:rsidRPr="00BF6A64">
        <w:rPr>
          <w:rFonts w:ascii="Times New Roman" w:hAnsi="Times New Roman" w:cs="Times New Roman"/>
        </w:rPr>
        <w:t xml:space="preserve">retire legal mandates. </w:t>
      </w:r>
      <w:r w:rsidRPr="00BF6A64">
        <w:rPr>
          <w:rFonts w:ascii="Times New Roman" w:hAnsi="Times New Roman" w:cs="Times New Roman"/>
          <w:i/>
          <w:iCs/>
        </w:rPr>
        <w:t>Jama</w:t>
      </w:r>
      <w:r w:rsidRPr="00BF6A64">
        <w:rPr>
          <w:rFonts w:ascii="Times New Roman" w:hAnsi="Times New Roman" w:cs="Times New Roman"/>
        </w:rPr>
        <w:t xml:space="preserve">, </w:t>
      </w:r>
      <w:r w:rsidRPr="00BF6A64">
        <w:rPr>
          <w:rFonts w:ascii="Times New Roman" w:hAnsi="Times New Roman" w:cs="Times New Roman"/>
          <w:i/>
          <w:iCs/>
        </w:rPr>
        <w:t>318</w:t>
      </w:r>
      <w:r w:rsidRPr="00BF6A64">
        <w:rPr>
          <w:rFonts w:ascii="Times New Roman" w:hAnsi="Times New Roman" w:cs="Times New Roman"/>
        </w:rPr>
        <w:t>(4), 329–330.</w:t>
      </w:r>
    </w:p>
    <w:p w:rsidR="00BF6A64" w:rsidRPr="00BF6A64" w:rsidRDefault="005D53BA" w:rsidP="00BF6A64">
      <w:pPr>
        <w:pStyle w:val="Bibliography"/>
        <w:rPr>
          <w:rFonts w:ascii="Times New Roman" w:hAnsi="Times New Roman" w:cs="Times New Roman"/>
        </w:rPr>
      </w:pPr>
      <w:r w:rsidRPr="00BF6A64">
        <w:rPr>
          <w:rFonts w:ascii="Times New Roman" w:hAnsi="Times New Roman" w:cs="Times New Roman"/>
        </w:rPr>
        <w:t>Safety and Health Topics | Healthcare—Organizational Safety Culture—Linking patient and worker safety | Occupational Safety and Health Administration. (n.d.). Retrieved October 4, 2019, from https://www.osha.go</w:t>
      </w:r>
      <w:r w:rsidRPr="00BF6A64">
        <w:rPr>
          <w:rFonts w:ascii="Times New Roman" w:hAnsi="Times New Roman" w:cs="Times New Roman"/>
        </w:rPr>
        <w:t>v/SLTC/healthcarefacilities/safetyculture.html</w:t>
      </w:r>
    </w:p>
    <w:p w:rsidR="00641124" w:rsidRPr="00641124" w:rsidRDefault="005D53BA" w:rsidP="00641124">
      <w:r>
        <w:fldChar w:fldCharType="end"/>
      </w:r>
    </w:p>
    <w:p w:rsidR="00F050E4" w:rsidRDefault="00F050E4" w:rsidP="00F050E4">
      <w:pPr>
        <w:pStyle w:val="Title"/>
        <w:ind w:firstLine="720"/>
        <w:jc w:val="left"/>
        <w:rPr>
          <w:rFonts w:ascii="Times New Roman" w:hAnsi="Times New Roman" w:cs="Times New Roman"/>
        </w:rPr>
      </w:pPr>
    </w:p>
    <w:p w:rsidR="002A5EAB" w:rsidRPr="00F36130" w:rsidRDefault="005D53BA" w:rsidP="00CF0134">
      <w:pPr>
        <w:pStyle w:val="Title"/>
        <w:ind w:firstLine="720"/>
        <w:jc w:val="left"/>
      </w:pPr>
      <w:r>
        <w:rPr>
          <w:rFonts w:ascii="Times New Roman" w:hAnsi="Times New Roman" w:cs="Times New Roman"/>
        </w:rPr>
        <w:t xml:space="preserve"> </w:t>
      </w:r>
    </w:p>
    <w:sectPr w:rsidR="002A5EAB" w:rsidRPr="00F36130">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3BA" w:rsidRDefault="005D53BA">
      <w:pPr>
        <w:spacing w:line="240" w:lineRule="auto"/>
      </w:pPr>
      <w:r>
        <w:separator/>
      </w:r>
    </w:p>
  </w:endnote>
  <w:endnote w:type="continuationSeparator" w:id="0">
    <w:p w:rsidR="005D53BA" w:rsidRDefault="005D53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3BA" w:rsidRDefault="005D53BA">
      <w:pPr>
        <w:spacing w:line="240" w:lineRule="auto"/>
      </w:pPr>
      <w:r>
        <w:separator/>
      </w:r>
    </w:p>
  </w:footnote>
  <w:footnote w:type="continuationSeparator" w:id="0">
    <w:p w:rsidR="005D53BA" w:rsidRDefault="005D53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53BA">
    <w:pPr>
      <w:pStyle w:val="Header"/>
    </w:pPr>
    <w:r w:rsidRPr="00F80872">
      <w:rPr>
        <w:rStyle w:val="Strong"/>
      </w:rPr>
      <w:t xml:space="preserve"> </w:t>
    </w:r>
    <w:r w:rsidR="00FB2AF8">
      <w:rPr>
        <w:rStyle w:val="Strong"/>
      </w:rPr>
      <w:t xml:space="preserve">health care and NURSING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6A64">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53BA">
    <w:pPr>
      <w:pStyle w:val="Header"/>
      <w:rPr>
        <w:rStyle w:val="Strong"/>
      </w:rPr>
    </w:pPr>
    <w:r>
      <w:t xml:space="preserve">Healthcare and Nursing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6A64" w:rsidRPr="00BF6A64">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53160742">
      <w:start w:val="1"/>
      <w:numFmt w:val="bullet"/>
      <w:lvlText w:val=""/>
      <w:lvlJc w:val="left"/>
      <w:pPr>
        <w:ind w:left="720" w:hanging="360"/>
      </w:pPr>
      <w:rPr>
        <w:rFonts w:ascii="Symbol" w:hAnsi="Symbol" w:hint="default"/>
      </w:rPr>
    </w:lvl>
    <w:lvl w:ilvl="1" w:tplc="E24C3EE0" w:tentative="1">
      <w:start w:val="1"/>
      <w:numFmt w:val="bullet"/>
      <w:lvlText w:val="o"/>
      <w:lvlJc w:val="left"/>
      <w:pPr>
        <w:ind w:left="1440" w:hanging="360"/>
      </w:pPr>
      <w:rPr>
        <w:rFonts w:ascii="Courier New" w:hAnsi="Courier New" w:cs="Courier New" w:hint="default"/>
      </w:rPr>
    </w:lvl>
    <w:lvl w:ilvl="2" w:tplc="AA24B368" w:tentative="1">
      <w:start w:val="1"/>
      <w:numFmt w:val="bullet"/>
      <w:lvlText w:val=""/>
      <w:lvlJc w:val="left"/>
      <w:pPr>
        <w:ind w:left="2160" w:hanging="360"/>
      </w:pPr>
      <w:rPr>
        <w:rFonts w:ascii="Wingdings" w:hAnsi="Wingdings" w:hint="default"/>
      </w:rPr>
    </w:lvl>
    <w:lvl w:ilvl="3" w:tplc="175EB1C0" w:tentative="1">
      <w:start w:val="1"/>
      <w:numFmt w:val="bullet"/>
      <w:lvlText w:val=""/>
      <w:lvlJc w:val="left"/>
      <w:pPr>
        <w:ind w:left="2880" w:hanging="360"/>
      </w:pPr>
      <w:rPr>
        <w:rFonts w:ascii="Symbol" w:hAnsi="Symbol" w:hint="default"/>
      </w:rPr>
    </w:lvl>
    <w:lvl w:ilvl="4" w:tplc="ACB40BB0" w:tentative="1">
      <w:start w:val="1"/>
      <w:numFmt w:val="bullet"/>
      <w:lvlText w:val="o"/>
      <w:lvlJc w:val="left"/>
      <w:pPr>
        <w:ind w:left="3600" w:hanging="360"/>
      </w:pPr>
      <w:rPr>
        <w:rFonts w:ascii="Courier New" w:hAnsi="Courier New" w:cs="Courier New" w:hint="default"/>
      </w:rPr>
    </w:lvl>
    <w:lvl w:ilvl="5" w:tplc="A86CD68A" w:tentative="1">
      <w:start w:val="1"/>
      <w:numFmt w:val="bullet"/>
      <w:lvlText w:val=""/>
      <w:lvlJc w:val="left"/>
      <w:pPr>
        <w:ind w:left="4320" w:hanging="360"/>
      </w:pPr>
      <w:rPr>
        <w:rFonts w:ascii="Wingdings" w:hAnsi="Wingdings" w:hint="default"/>
      </w:rPr>
    </w:lvl>
    <w:lvl w:ilvl="6" w:tplc="19485328" w:tentative="1">
      <w:start w:val="1"/>
      <w:numFmt w:val="bullet"/>
      <w:lvlText w:val=""/>
      <w:lvlJc w:val="left"/>
      <w:pPr>
        <w:ind w:left="5040" w:hanging="360"/>
      </w:pPr>
      <w:rPr>
        <w:rFonts w:ascii="Symbol" w:hAnsi="Symbol" w:hint="default"/>
      </w:rPr>
    </w:lvl>
    <w:lvl w:ilvl="7" w:tplc="957AEC30" w:tentative="1">
      <w:start w:val="1"/>
      <w:numFmt w:val="bullet"/>
      <w:lvlText w:val="o"/>
      <w:lvlJc w:val="left"/>
      <w:pPr>
        <w:ind w:left="5760" w:hanging="360"/>
      </w:pPr>
      <w:rPr>
        <w:rFonts w:ascii="Courier New" w:hAnsi="Courier New" w:cs="Courier New" w:hint="default"/>
      </w:rPr>
    </w:lvl>
    <w:lvl w:ilvl="8" w:tplc="6F9C24F8"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3MTc1MzQyMjIzNzVV0lEKTi0uzszPAykwqgUACoDRFiwAAAA="/>
  </w:docVars>
  <w:rsids>
    <w:rsidRoot w:val="005C39B5"/>
    <w:rsid w:val="00002B29"/>
    <w:rsid w:val="000458BF"/>
    <w:rsid w:val="00063733"/>
    <w:rsid w:val="00081969"/>
    <w:rsid w:val="000A3398"/>
    <w:rsid w:val="000A40AE"/>
    <w:rsid w:val="000C1F77"/>
    <w:rsid w:val="000D1FD0"/>
    <w:rsid w:val="000D2DA6"/>
    <w:rsid w:val="000D3F41"/>
    <w:rsid w:val="000E04F4"/>
    <w:rsid w:val="00100ED8"/>
    <w:rsid w:val="001043B6"/>
    <w:rsid w:val="00106D49"/>
    <w:rsid w:val="00115BEB"/>
    <w:rsid w:val="00120D8C"/>
    <w:rsid w:val="00156E81"/>
    <w:rsid w:val="001B5372"/>
    <w:rsid w:val="001C5CE1"/>
    <w:rsid w:val="001D3AEE"/>
    <w:rsid w:val="001F14A6"/>
    <w:rsid w:val="00235295"/>
    <w:rsid w:val="002513E9"/>
    <w:rsid w:val="00265074"/>
    <w:rsid w:val="00290241"/>
    <w:rsid w:val="00295816"/>
    <w:rsid w:val="00296FED"/>
    <w:rsid w:val="002A1132"/>
    <w:rsid w:val="002A5EAB"/>
    <w:rsid w:val="002C1317"/>
    <w:rsid w:val="00355AD3"/>
    <w:rsid w:val="00355DCA"/>
    <w:rsid w:val="00377018"/>
    <w:rsid w:val="00386E26"/>
    <w:rsid w:val="00393322"/>
    <w:rsid w:val="003A2692"/>
    <w:rsid w:val="003D66CB"/>
    <w:rsid w:val="003F5409"/>
    <w:rsid w:val="00401839"/>
    <w:rsid w:val="00404C4C"/>
    <w:rsid w:val="00433274"/>
    <w:rsid w:val="00445E12"/>
    <w:rsid w:val="00461BA3"/>
    <w:rsid w:val="0046629C"/>
    <w:rsid w:val="004724D7"/>
    <w:rsid w:val="00490E40"/>
    <w:rsid w:val="00492655"/>
    <w:rsid w:val="0053467A"/>
    <w:rsid w:val="0054276E"/>
    <w:rsid w:val="00551A02"/>
    <w:rsid w:val="005534FA"/>
    <w:rsid w:val="005565B4"/>
    <w:rsid w:val="005B3A43"/>
    <w:rsid w:val="005C39B5"/>
    <w:rsid w:val="005D3A03"/>
    <w:rsid w:val="005D53BA"/>
    <w:rsid w:val="005E111A"/>
    <w:rsid w:val="005E6AF9"/>
    <w:rsid w:val="005F6BDF"/>
    <w:rsid w:val="00623034"/>
    <w:rsid w:val="00641124"/>
    <w:rsid w:val="006854D5"/>
    <w:rsid w:val="006A4D34"/>
    <w:rsid w:val="006D33BA"/>
    <w:rsid w:val="00747C09"/>
    <w:rsid w:val="00797F6D"/>
    <w:rsid w:val="008002C0"/>
    <w:rsid w:val="00837684"/>
    <w:rsid w:val="00860DA3"/>
    <w:rsid w:val="008B0E56"/>
    <w:rsid w:val="008C5323"/>
    <w:rsid w:val="008D41FA"/>
    <w:rsid w:val="008D477A"/>
    <w:rsid w:val="008D5F9A"/>
    <w:rsid w:val="008E036B"/>
    <w:rsid w:val="008E0F8D"/>
    <w:rsid w:val="008E3AC1"/>
    <w:rsid w:val="008E4449"/>
    <w:rsid w:val="00906227"/>
    <w:rsid w:val="009223E3"/>
    <w:rsid w:val="00945A71"/>
    <w:rsid w:val="009A2D7B"/>
    <w:rsid w:val="009A6A3B"/>
    <w:rsid w:val="009C2EAC"/>
    <w:rsid w:val="00A57C5A"/>
    <w:rsid w:val="00A92A6B"/>
    <w:rsid w:val="00AC362E"/>
    <w:rsid w:val="00AD1EB9"/>
    <w:rsid w:val="00AE7D1B"/>
    <w:rsid w:val="00B26514"/>
    <w:rsid w:val="00B4615C"/>
    <w:rsid w:val="00B566CC"/>
    <w:rsid w:val="00B823AA"/>
    <w:rsid w:val="00BA45DB"/>
    <w:rsid w:val="00BE78B7"/>
    <w:rsid w:val="00BF4184"/>
    <w:rsid w:val="00BF6A64"/>
    <w:rsid w:val="00C04AAD"/>
    <w:rsid w:val="00C0601E"/>
    <w:rsid w:val="00C31D30"/>
    <w:rsid w:val="00C32C5C"/>
    <w:rsid w:val="00C370BD"/>
    <w:rsid w:val="00C4741C"/>
    <w:rsid w:val="00C64D11"/>
    <w:rsid w:val="00C82288"/>
    <w:rsid w:val="00C97C01"/>
    <w:rsid w:val="00CB10EB"/>
    <w:rsid w:val="00CD6E39"/>
    <w:rsid w:val="00CE4903"/>
    <w:rsid w:val="00CF0134"/>
    <w:rsid w:val="00CF1C1B"/>
    <w:rsid w:val="00CF2711"/>
    <w:rsid w:val="00CF6E91"/>
    <w:rsid w:val="00D151D3"/>
    <w:rsid w:val="00D178AB"/>
    <w:rsid w:val="00D30337"/>
    <w:rsid w:val="00D343E0"/>
    <w:rsid w:val="00D36A91"/>
    <w:rsid w:val="00D7339A"/>
    <w:rsid w:val="00D73CF9"/>
    <w:rsid w:val="00D85B68"/>
    <w:rsid w:val="00DE65C3"/>
    <w:rsid w:val="00E1067A"/>
    <w:rsid w:val="00E258A7"/>
    <w:rsid w:val="00E367BF"/>
    <w:rsid w:val="00E6004D"/>
    <w:rsid w:val="00E718C9"/>
    <w:rsid w:val="00E76E2A"/>
    <w:rsid w:val="00E816CA"/>
    <w:rsid w:val="00E81978"/>
    <w:rsid w:val="00E93155"/>
    <w:rsid w:val="00E93613"/>
    <w:rsid w:val="00E96000"/>
    <w:rsid w:val="00E979DD"/>
    <w:rsid w:val="00EC2620"/>
    <w:rsid w:val="00EC34BA"/>
    <w:rsid w:val="00EC54E4"/>
    <w:rsid w:val="00EE5314"/>
    <w:rsid w:val="00F050E4"/>
    <w:rsid w:val="00F36130"/>
    <w:rsid w:val="00F379B7"/>
    <w:rsid w:val="00F525FA"/>
    <w:rsid w:val="00F66B7B"/>
    <w:rsid w:val="00F805B1"/>
    <w:rsid w:val="00F80872"/>
    <w:rsid w:val="00F82768"/>
    <w:rsid w:val="00FB2AF8"/>
    <w:rsid w:val="00FC553F"/>
    <w:rsid w:val="00FE630F"/>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3933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2019-10-05T06:53:00Z</dcterms:created>
  <dcterms:modified xsi:type="dcterms:W3CDTF">2019-10-05T06:53:00Z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id="OSXJOr8N"/&gt;&lt;style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