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0D" w:rsidRPr="00D86664" w:rsidRDefault="00023C0D" w:rsidP="00D86664">
      <w:pPr>
        <w:pStyle w:val="Title2"/>
        <w:rPr>
          <w:rFonts w:ascii="Times New Roman" w:eastAsiaTheme="majorEastAsia" w:hAnsi="Times New Roman" w:cs="Times New Roman"/>
        </w:rPr>
      </w:pPr>
    </w:p>
    <w:p w:rsidR="00023C0D" w:rsidRPr="00D86664" w:rsidRDefault="00023C0D" w:rsidP="00D86664">
      <w:pPr>
        <w:pStyle w:val="Title2"/>
        <w:rPr>
          <w:rFonts w:ascii="Times New Roman" w:eastAsiaTheme="majorEastAsia" w:hAnsi="Times New Roman" w:cs="Times New Roman"/>
        </w:rPr>
      </w:pPr>
    </w:p>
    <w:p w:rsidR="00023C0D" w:rsidRPr="00D86664" w:rsidRDefault="00023C0D" w:rsidP="00D86664">
      <w:pPr>
        <w:pStyle w:val="Title2"/>
        <w:rPr>
          <w:rFonts w:ascii="Times New Roman" w:eastAsiaTheme="majorEastAsia" w:hAnsi="Times New Roman" w:cs="Times New Roman"/>
        </w:rPr>
      </w:pPr>
    </w:p>
    <w:p w:rsidR="00023C0D" w:rsidRPr="00D86664" w:rsidRDefault="00023C0D" w:rsidP="00D86664">
      <w:pPr>
        <w:pStyle w:val="Title2"/>
        <w:rPr>
          <w:rFonts w:ascii="Times New Roman" w:eastAsiaTheme="majorEastAsia" w:hAnsi="Times New Roman" w:cs="Times New Roman"/>
        </w:rPr>
      </w:pPr>
    </w:p>
    <w:p w:rsidR="00023C0D" w:rsidRPr="00D86664" w:rsidRDefault="00023C0D" w:rsidP="00D86664">
      <w:pPr>
        <w:pStyle w:val="Title2"/>
        <w:rPr>
          <w:rFonts w:ascii="Times New Roman" w:eastAsiaTheme="majorEastAsia" w:hAnsi="Times New Roman" w:cs="Times New Roman"/>
        </w:rPr>
      </w:pPr>
    </w:p>
    <w:p w:rsidR="00023C0D" w:rsidRPr="00D86664" w:rsidRDefault="00314E3A" w:rsidP="00D86664">
      <w:pPr>
        <w:pStyle w:val="Title2"/>
        <w:rPr>
          <w:rFonts w:ascii="Times New Roman" w:eastAsiaTheme="majorEastAsia" w:hAnsi="Times New Roman" w:cs="Times New Roman"/>
        </w:rPr>
      </w:pPr>
      <w:r w:rsidRPr="00D86664">
        <w:rPr>
          <w:rFonts w:ascii="Times New Roman" w:eastAsiaTheme="majorEastAsia" w:hAnsi="Times New Roman" w:cs="Times New Roman"/>
        </w:rPr>
        <w:t>Case Study Three</w:t>
      </w:r>
    </w:p>
    <w:p w:rsidR="00023C0D" w:rsidRPr="00D86664" w:rsidRDefault="00314E3A" w:rsidP="00D86664">
      <w:pPr>
        <w:pStyle w:val="Title2"/>
        <w:rPr>
          <w:rFonts w:ascii="Times New Roman" w:hAnsi="Times New Roman" w:cs="Times New Roman"/>
        </w:rPr>
      </w:pPr>
      <w:r w:rsidRPr="00D86664">
        <w:rPr>
          <w:rFonts w:ascii="Times New Roman" w:hAnsi="Times New Roman" w:cs="Times New Roman"/>
        </w:rPr>
        <w:t>Steven</w:t>
      </w: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314E3A" w:rsidRPr="00D86664" w:rsidRDefault="00314E3A" w:rsidP="00D86664">
      <w:pPr>
        <w:pStyle w:val="Title2"/>
        <w:rPr>
          <w:rFonts w:ascii="Times New Roman" w:hAnsi="Times New Roman" w:cs="Times New Roman"/>
        </w:rPr>
      </w:pPr>
    </w:p>
    <w:p w:rsidR="00314E3A" w:rsidRPr="00D86664" w:rsidRDefault="00314E3A" w:rsidP="00D86664">
      <w:pPr>
        <w:pStyle w:val="Title2"/>
        <w:rPr>
          <w:rFonts w:ascii="Times New Roman" w:hAnsi="Times New Roman" w:cs="Times New Roman"/>
        </w:rPr>
      </w:pPr>
    </w:p>
    <w:p w:rsidR="00314E3A" w:rsidRPr="00D86664" w:rsidRDefault="00314E3A"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023C0D" w:rsidP="00D86664">
      <w:pPr>
        <w:pStyle w:val="Title2"/>
        <w:rPr>
          <w:rFonts w:ascii="Times New Roman" w:hAnsi="Times New Roman" w:cs="Times New Roman"/>
        </w:rPr>
      </w:pPr>
    </w:p>
    <w:p w:rsidR="00023C0D" w:rsidRPr="00D86664" w:rsidRDefault="00314E3A" w:rsidP="00D86664">
      <w:pPr>
        <w:pStyle w:val="Title2"/>
        <w:rPr>
          <w:rFonts w:ascii="Times New Roman" w:hAnsi="Times New Roman" w:cs="Times New Roman"/>
        </w:rPr>
      </w:pPr>
      <w:r w:rsidRPr="00D86664">
        <w:rPr>
          <w:rFonts w:ascii="Times New Roman" w:hAnsi="Times New Roman" w:cs="Times New Roman"/>
        </w:rPr>
        <w:lastRenderedPageBreak/>
        <w:t>Case Study Three</w:t>
      </w:r>
    </w:p>
    <w:p w:rsidR="0023764C" w:rsidRPr="00D86664" w:rsidRDefault="0007494A" w:rsidP="00D86664">
      <w:pPr>
        <w:pStyle w:val="ListParagraph"/>
        <w:ind w:left="760"/>
        <w:jc w:val="both"/>
        <w:rPr>
          <w:rFonts w:ascii="Times New Roman" w:hAnsi="Times New Roman" w:cs="Times New Roman"/>
        </w:rPr>
      </w:pPr>
      <w:r w:rsidRPr="00D86664">
        <w:rPr>
          <w:rFonts w:ascii="Times New Roman" w:hAnsi="Times New Roman" w:cs="Times New Roman"/>
        </w:rPr>
        <w:t>1.</w:t>
      </w:r>
      <w:r w:rsidR="009F39E7" w:rsidRPr="00D86664">
        <w:rPr>
          <w:rFonts w:ascii="Times New Roman" w:hAnsi="Times New Roman" w:cs="Times New Roman"/>
        </w:rPr>
        <w:tab/>
      </w:r>
      <w:r w:rsidR="008442D5" w:rsidRPr="00D86664">
        <w:rPr>
          <w:rFonts w:ascii="Times New Roman" w:hAnsi="Times New Roman" w:cs="Times New Roman"/>
        </w:rPr>
        <w:t xml:space="preserve">The company is moving from the private to </w:t>
      </w:r>
      <w:r w:rsidR="004E28EA" w:rsidRPr="00D86664">
        <w:rPr>
          <w:rFonts w:ascii="Times New Roman" w:hAnsi="Times New Roman" w:cs="Times New Roman"/>
        </w:rPr>
        <w:t xml:space="preserve">the public company </w:t>
      </w:r>
      <w:r w:rsidR="008442D5" w:rsidRPr="00D86664">
        <w:rPr>
          <w:rFonts w:ascii="Times New Roman" w:hAnsi="Times New Roman" w:cs="Times New Roman"/>
        </w:rPr>
        <w:t xml:space="preserve">for the first time. </w:t>
      </w:r>
      <w:r w:rsidR="004E28EA" w:rsidRPr="00D86664">
        <w:rPr>
          <w:rFonts w:ascii="Times New Roman" w:hAnsi="Times New Roman" w:cs="Times New Roman"/>
        </w:rPr>
        <w:t xml:space="preserve">It </w:t>
      </w:r>
      <w:r w:rsidR="008442D5" w:rsidRPr="00D86664">
        <w:rPr>
          <w:rFonts w:ascii="Times New Roman" w:hAnsi="Times New Roman" w:cs="Times New Roman"/>
        </w:rPr>
        <w:t>will face a number of delays in becoming a public company making it an Initial Public Offering (IPO) company</w:t>
      </w:r>
      <w:sdt>
        <w:sdtPr>
          <w:rPr>
            <w:rFonts w:ascii="Times New Roman" w:hAnsi="Times New Roman" w:cs="Times New Roman"/>
          </w:rPr>
          <w:id w:val="146864605"/>
          <w:citation/>
        </w:sdtPr>
        <w:sdtContent>
          <w:r w:rsidR="004E28EA" w:rsidRPr="00D86664">
            <w:rPr>
              <w:rFonts w:ascii="Times New Roman" w:hAnsi="Times New Roman" w:cs="Times New Roman"/>
            </w:rPr>
            <w:fldChar w:fldCharType="begin"/>
          </w:r>
          <w:r w:rsidR="004E28EA" w:rsidRPr="00D86664">
            <w:rPr>
              <w:rFonts w:ascii="Times New Roman" w:hAnsi="Times New Roman" w:cs="Times New Roman"/>
            </w:rPr>
            <w:instrText xml:space="preserve"> CITATION STr03 \l 1033 </w:instrText>
          </w:r>
          <w:r w:rsidR="004E28EA" w:rsidRPr="00D86664">
            <w:rPr>
              <w:rFonts w:ascii="Times New Roman" w:hAnsi="Times New Roman" w:cs="Times New Roman"/>
            </w:rPr>
            <w:fldChar w:fldCharType="separate"/>
          </w:r>
          <w:r w:rsidR="004E28EA" w:rsidRPr="00D86664">
            <w:rPr>
              <w:rFonts w:ascii="Times New Roman" w:hAnsi="Times New Roman" w:cs="Times New Roman"/>
              <w:noProof/>
            </w:rPr>
            <w:t xml:space="preserve"> (Certo, 2003)</w:t>
          </w:r>
          <w:r w:rsidR="004E28EA" w:rsidRPr="00D86664">
            <w:rPr>
              <w:rFonts w:ascii="Times New Roman" w:hAnsi="Times New Roman" w:cs="Times New Roman"/>
            </w:rPr>
            <w:fldChar w:fldCharType="end"/>
          </w:r>
        </w:sdtContent>
      </w:sdt>
      <w:r w:rsidR="008442D5" w:rsidRPr="00D86664">
        <w:rPr>
          <w:rFonts w:ascii="Times New Roman" w:hAnsi="Times New Roman" w:cs="Times New Roman"/>
        </w:rPr>
        <w:t xml:space="preserve">. There is procedure laid by the Security Exchange </w:t>
      </w:r>
      <w:r w:rsidR="004E28EA" w:rsidRPr="00D86664">
        <w:rPr>
          <w:rFonts w:ascii="Times New Roman" w:hAnsi="Times New Roman" w:cs="Times New Roman"/>
        </w:rPr>
        <w:t>C</w:t>
      </w:r>
      <w:r w:rsidR="008442D5" w:rsidRPr="00D86664">
        <w:rPr>
          <w:rFonts w:ascii="Times New Roman" w:hAnsi="Times New Roman" w:cs="Times New Roman"/>
        </w:rPr>
        <w:t xml:space="preserve">ommission (SEC) that requires the cough Syrup company to comply with the IPO process. </w:t>
      </w:r>
      <w:r w:rsidR="009F39E7" w:rsidRPr="00D86664">
        <w:rPr>
          <w:rFonts w:ascii="Times New Roman" w:hAnsi="Times New Roman" w:cs="Times New Roman"/>
        </w:rPr>
        <w:t xml:space="preserve">The SEC </w:t>
      </w:r>
      <w:r w:rsidR="004E28EA" w:rsidRPr="00D86664">
        <w:rPr>
          <w:rFonts w:ascii="Times New Roman" w:hAnsi="Times New Roman" w:cs="Times New Roman"/>
        </w:rPr>
        <w:t>needs</w:t>
      </w:r>
      <w:r w:rsidR="009F39E7" w:rsidRPr="00D86664">
        <w:rPr>
          <w:rFonts w:ascii="Times New Roman" w:hAnsi="Times New Roman" w:cs="Times New Roman"/>
        </w:rPr>
        <w:t xml:space="preserve"> the companies to disclose their financial status, records, management analysis and information regarding the business shareholders. </w:t>
      </w:r>
      <w:r w:rsidR="00314E3A" w:rsidRPr="00D86664">
        <w:rPr>
          <w:rFonts w:ascii="Times New Roman" w:hAnsi="Times New Roman" w:cs="Times New Roman"/>
        </w:rPr>
        <w:t>Three potential legal or regulatory issues</w:t>
      </w:r>
      <w:r w:rsidR="004E28EA" w:rsidRPr="00D86664">
        <w:rPr>
          <w:rFonts w:ascii="Times New Roman" w:hAnsi="Times New Roman" w:cs="Times New Roman"/>
        </w:rPr>
        <w:t xml:space="preserve"> are</w:t>
      </w:r>
      <w:r w:rsidR="00314E3A" w:rsidRPr="00D86664">
        <w:rPr>
          <w:rFonts w:ascii="Times New Roman" w:hAnsi="Times New Roman" w:cs="Times New Roman"/>
        </w:rPr>
        <w:t xml:space="preserve"> apparent in this case </w:t>
      </w:r>
      <w:r w:rsidR="009F39E7" w:rsidRPr="00D86664">
        <w:rPr>
          <w:rFonts w:ascii="Times New Roman" w:hAnsi="Times New Roman" w:cs="Times New Roman"/>
        </w:rPr>
        <w:t>that the Miracle Cough Syrup might face in becoming a Public company. For the initial procedures</w:t>
      </w:r>
      <w:r w:rsidR="004E28EA" w:rsidRPr="00D86664">
        <w:rPr>
          <w:rFonts w:ascii="Times New Roman" w:hAnsi="Times New Roman" w:cs="Times New Roman"/>
        </w:rPr>
        <w:t xml:space="preserve"> to register,</w:t>
      </w:r>
      <w:r w:rsidR="009F39E7" w:rsidRPr="00D86664">
        <w:rPr>
          <w:rFonts w:ascii="Times New Roman" w:hAnsi="Times New Roman" w:cs="Times New Roman"/>
        </w:rPr>
        <w:t xml:space="preserve"> Fred needs to show the managerial and the financial position of the company. Jane’s forgery in the finances of the company will show the inefficiency in the accounts of the accounts. The</w:t>
      </w:r>
      <w:r w:rsidR="004E28EA" w:rsidRPr="00D86664">
        <w:rPr>
          <w:rFonts w:ascii="Times New Roman" w:hAnsi="Times New Roman" w:cs="Times New Roman"/>
        </w:rPr>
        <w:t>y</w:t>
      </w:r>
      <w:r w:rsidR="009F39E7" w:rsidRPr="00D86664">
        <w:rPr>
          <w:rFonts w:ascii="Times New Roman" w:hAnsi="Times New Roman" w:cs="Times New Roman"/>
        </w:rPr>
        <w:t xml:space="preserve"> will dispel the investors to invest </w:t>
      </w:r>
      <w:r w:rsidR="0023764C" w:rsidRPr="00D86664">
        <w:rPr>
          <w:rFonts w:ascii="Times New Roman" w:hAnsi="Times New Roman" w:cs="Times New Roman"/>
        </w:rPr>
        <w:t>their</w:t>
      </w:r>
      <w:r w:rsidR="009F39E7" w:rsidRPr="00D86664">
        <w:rPr>
          <w:rFonts w:ascii="Times New Roman" w:hAnsi="Times New Roman" w:cs="Times New Roman"/>
        </w:rPr>
        <w:t xml:space="preserve"> capital and shares elsewhere</w:t>
      </w:r>
      <w:r w:rsidR="0023764C" w:rsidRPr="00D86664">
        <w:rPr>
          <w:rFonts w:ascii="Times New Roman" w:hAnsi="Times New Roman" w:cs="Times New Roman"/>
        </w:rPr>
        <w:t xml:space="preserve">, making </w:t>
      </w:r>
      <w:r w:rsidR="004E28EA" w:rsidRPr="00D86664">
        <w:rPr>
          <w:rFonts w:ascii="Times New Roman" w:hAnsi="Times New Roman" w:cs="Times New Roman"/>
        </w:rPr>
        <w:t xml:space="preserve">the </w:t>
      </w:r>
      <w:r w:rsidR="0023764C" w:rsidRPr="00D86664">
        <w:rPr>
          <w:rFonts w:ascii="Times New Roman" w:hAnsi="Times New Roman" w:cs="Times New Roman"/>
        </w:rPr>
        <w:t xml:space="preserve">company loose capital needed for expanded. </w:t>
      </w:r>
      <w:r w:rsidR="009F39E7" w:rsidRPr="00D86664">
        <w:rPr>
          <w:rFonts w:ascii="Times New Roman" w:hAnsi="Times New Roman" w:cs="Times New Roman"/>
        </w:rPr>
        <w:t>Another issue that will halt the company from going public is the issue of th</w:t>
      </w:r>
      <w:r w:rsidR="0023764C" w:rsidRPr="00D86664">
        <w:rPr>
          <w:rFonts w:ascii="Times New Roman" w:hAnsi="Times New Roman" w:cs="Times New Roman"/>
        </w:rPr>
        <w:t>e intellectual property rights that may be possible since Fred went public on TV regarding his drug and with the recipe available online, many other</w:t>
      </w:r>
      <w:r w:rsidR="004E28EA" w:rsidRPr="00D86664">
        <w:rPr>
          <w:rFonts w:ascii="Times New Roman" w:hAnsi="Times New Roman" w:cs="Times New Roman"/>
        </w:rPr>
        <w:t>s</w:t>
      </w:r>
      <w:r w:rsidR="0023764C" w:rsidRPr="00D86664">
        <w:rPr>
          <w:rFonts w:ascii="Times New Roman" w:hAnsi="Times New Roman" w:cs="Times New Roman"/>
        </w:rPr>
        <w:t xml:space="preserve"> will be able to claim intellectual property right, making it difficult for Fred to go public with his company. And lastly Tammy’s accusation of sex discrimination</w:t>
      </w:r>
      <w:r w:rsidR="004E28EA" w:rsidRPr="00D86664">
        <w:rPr>
          <w:rFonts w:ascii="Times New Roman" w:hAnsi="Times New Roman" w:cs="Times New Roman"/>
        </w:rPr>
        <w:t>;</w:t>
      </w:r>
      <w:r w:rsidR="0023764C" w:rsidRPr="00D86664">
        <w:rPr>
          <w:rFonts w:ascii="Times New Roman" w:hAnsi="Times New Roman" w:cs="Times New Roman"/>
        </w:rPr>
        <w:t xml:space="preserve"> Fred will have to prove that Tammy did not carry the appropriate experience and qualification for the job. </w:t>
      </w:r>
      <w:r w:rsidR="006E00E5" w:rsidRPr="00D86664">
        <w:rPr>
          <w:rFonts w:ascii="Times New Roman" w:hAnsi="Times New Roman" w:cs="Times New Roman"/>
        </w:rPr>
        <w:t>This would also prove that it was a case of failure to comply with the job requirements and an opportunity to harass the company since Tammy was a previous employ</w:t>
      </w:r>
      <w:r w:rsidR="004E28EA" w:rsidRPr="00D86664">
        <w:rPr>
          <w:rFonts w:ascii="Times New Roman" w:hAnsi="Times New Roman" w:cs="Times New Roman"/>
        </w:rPr>
        <w:t>ee</w:t>
      </w:r>
      <w:r w:rsidR="006E00E5" w:rsidRPr="00D86664">
        <w:rPr>
          <w:rFonts w:ascii="Times New Roman" w:hAnsi="Times New Roman" w:cs="Times New Roman"/>
        </w:rPr>
        <w:t xml:space="preserve"> and did not have any previous complaints. </w:t>
      </w:r>
    </w:p>
    <w:p w:rsidR="00314E3A" w:rsidRPr="00D86664" w:rsidRDefault="00314E3A" w:rsidP="00D86664">
      <w:pPr>
        <w:pStyle w:val="ListParagraph"/>
        <w:ind w:left="670"/>
        <w:jc w:val="both"/>
        <w:rPr>
          <w:rFonts w:ascii="Times New Roman" w:hAnsi="Times New Roman" w:cs="Times New Roman"/>
        </w:rPr>
      </w:pPr>
    </w:p>
    <w:p w:rsidR="004E28EA" w:rsidRPr="00D86664" w:rsidRDefault="004E28EA" w:rsidP="00D86664">
      <w:pPr>
        <w:pStyle w:val="ListParagraph"/>
        <w:ind w:left="670"/>
        <w:jc w:val="both"/>
        <w:rPr>
          <w:rFonts w:ascii="Times New Roman" w:hAnsi="Times New Roman" w:cs="Times New Roman"/>
        </w:rPr>
      </w:pPr>
    </w:p>
    <w:p w:rsidR="00D21F8A" w:rsidRPr="00D86664" w:rsidRDefault="0007494A" w:rsidP="00D86664">
      <w:pPr>
        <w:pStyle w:val="ListParagraph"/>
        <w:ind w:left="670"/>
        <w:jc w:val="both"/>
        <w:rPr>
          <w:rFonts w:ascii="Times New Roman" w:hAnsi="Times New Roman" w:cs="Times New Roman"/>
        </w:rPr>
      </w:pPr>
      <w:r w:rsidRPr="00D86664">
        <w:rPr>
          <w:rFonts w:ascii="Times New Roman" w:hAnsi="Times New Roman" w:cs="Times New Roman"/>
        </w:rPr>
        <w:lastRenderedPageBreak/>
        <w:t>2.</w:t>
      </w:r>
      <w:r w:rsidRPr="00D86664">
        <w:rPr>
          <w:rFonts w:ascii="Times New Roman" w:hAnsi="Times New Roman" w:cs="Times New Roman"/>
        </w:rPr>
        <w:tab/>
      </w:r>
      <w:r w:rsidR="006E00E5" w:rsidRPr="00D86664">
        <w:rPr>
          <w:rFonts w:ascii="Times New Roman" w:hAnsi="Times New Roman" w:cs="Times New Roman"/>
        </w:rPr>
        <w:t xml:space="preserve">All Public companies are by law required to register themselves with the state. Fred’s Miracle Cough Syrup Company will also need to follow the procedure laid by the Security Exchange </w:t>
      </w:r>
      <w:r w:rsidR="004E28EA" w:rsidRPr="00D86664">
        <w:rPr>
          <w:rFonts w:ascii="Times New Roman" w:hAnsi="Times New Roman" w:cs="Times New Roman"/>
        </w:rPr>
        <w:t>C</w:t>
      </w:r>
      <w:r w:rsidR="006E00E5" w:rsidRPr="00D86664">
        <w:rPr>
          <w:rFonts w:ascii="Times New Roman" w:hAnsi="Times New Roman" w:cs="Times New Roman"/>
        </w:rPr>
        <w:t>ommission to register themselves. The SEC will first look into the status of the company and then approve it for the public offering.</w:t>
      </w:r>
      <w:r w:rsidR="004C334F" w:rsidRPr="00D86664">
        <w:rPr>
          <w:rFonts w:ascii="Times New Roman" w:hAnsi="Times New Roman" w:cs="Times New Roman"/>
        </w:rPr>
        <w:t xml:space="preserve"> The company will have to disclose the financial records, statements, business operations, management and complete regulatory processes that the cough syrup company holds under The Securities Exchange </w:t>
      </w:r>
      <w:r w:rsidR="00A61881" w:rsidRPr="00D86664">
        <w:rPr>
          <w:rFonts w:ascii="Times New Roman" w:hAnsi="Times New Roman" w:cs="Times New Roman"/>
        </w:rPr>
        <w:t>Act 193</w:t>
      </w:r>
      <w:r w:rsidR="004C334F" w:rsidRPr="00D86664">
        <w:rPr>
          <w:rFonts w:ascii="Times New Roman" w:hAnsi="Times New Roman" w:cs="Times New Roman"/>
        </w:rPr>
        <w:t>4</w:t>
      </w:r>
      <w:sdt>
        <w:sdtPr>
          <w:rPr>
            <w:rFonts w:ascii="Times New Roman" w:hAnsi="Times New Roman" w:cs="Times New Roman"/>
          </w:rPr>
          <w:id w:val="-1759966643"/>
          <w:citation/>
        </w:sdtPr>
        <w:sdtContent>
          <w:r w:rsidR="00A61881" w:rsidRPr="00D86664">
            <w:rPr>
              <w:rFonts w:ascii="Times New Roman" w:hAnsi="Times New Roman" w:cs="Times New Roman"/>
            </w:rPr>
            <w:fldChar w:fldCharType="begin"/>
          </w:r>
          <w:r w:rsidR="00A61881" w:rsidRPr="00D86664">
            <w:rPr>
              <w:rFonts w:ascii="Times New Roman" w:hAnsi="Times New Roman" w:cs="Times New Roman"/>
            </w:rPr>
            <w:instrText xml:space="preserve"> CITATION GJB73 \l 1033 </w:instrText>
          </w:r>
          <w:r w:rsidR="00A61881" w:rsidRPr="00D86664">
            <w:rPr>
              <w:rFonts w:ascii="Times New Roman" w:hAnsi="Times New Roman" w:cs="Times New Roman"/>
            </w:rPr>
            <w:fldChar w:fldCharType="separate"/>
          </w:r>
          <w:r w:rsidR="00A61881" w:rsidRPr="00D86664">
            <w:rPr>
              <w:rFonts w:ascii="Times New Roman" w:hAnsi="Times New Roman" w:cs="Times New Roman"/>
              <w:noProof/>
            </w:rPr>
            <w:t xml:space="preserve"> (Benston, 1973)</w:t>
          </w:r>
          <w:r w:rsidR="00A61881" w:rsidRPr="00D86664">
            <w:rPr>
              <w:rFonts w:ascii="Times New Roman" w:hAnsi="Times New Roman" w:cs="Times New Roman"/>
            </w:rPr>
            <w:fldChar w:fldCharType="end"/>
          </w:r>
        </w:sdtContent>
      </w:sdt>
      <w:r w:rsidR="004C334F" w:rsidRPr="00D86664">
        <w:rPr>
          <w:rFonts w:ascii="Times New Roman" w:hAnsi="Times New Roman" w:cs="Times New Roman"/>
        </w:rPr>
        <w:t xml:space="preserve">. </w:t>
      </w:r>
      <w:r w:rsidR="008A6F81" w:rsidRPr="00D86664">
        <w:rPr>
          <w:rFonts w:ascii="Times New Roman" w:hAnsi="Times New Roman" w:cs="Times New Roman"/>
        </w:rPr>
        <w:t xml:space="preserve"> </w:t>
      </w:r>
      <w:r w:rsidR="00D21F8A" w:rsidRPr="00D86664">
        <w:rPr>
          <w:rFonts w:ascii="Times New Roman" w:hAnsi="Times New Roman" w:cs="Times New Roman"/>
        </w:rPr>
        <w:t>Sarbanes-Oxley Act 2002 is another law</w:t>
      </w:r>
      <w:r w:rsidR="004E28EA" w:rsidRPr="00D86664">
        <w:rPr>
          <w:rFonts w:ascii="Times New Roman" w:hAnsi="Times New Roman" w:cs="Times New Roman"/>
        </w:rPr>
        <w:t>,</w:t>
      </w:r>
      <w:r w:rsidR="00D21F8A" w:rsidRPr="00D86664">
        <w:rPr>
          <w:rFonts w:ascii="Times New Roman" w:hAnsi="Times New Roman" w:cs="Times New Roman"/>
        </w:rPr>
        <w:t xml:space="preserve"> the Miracle Cough syrup shall comply with. The Federal law regulates the financial practices and helps protect the shareholders from the errors in the regulations of the capital within it. The company would need to assure that no forgery or fraudulent transactions will take place in the future. </w:t>
      </w:r>
      <w:r w:rsidR="00B10964" w:rsidRPr="00D86664">
        <w:rPr>
          <w:rFonts w:ascii="Times New Roman" w:hAnsi="Times New Roman" w:cs="Times New Roman"/>
        </w:rPr>
        <w:t>Section 3</w:t>
      </w:r>
      <w:r w:rsidR="004E28EA" w:rsidRPr="00D86664">
        <w:rPr>
          <w:rFonts w:ascii="Times New Roman" w:hAnsi="Times New Roman" w:cs="Times New Roman"/>
        </w:rPr>
        <w:t xml:space="preserve">02 of the act </w:t>
      </w:r>
      <w:r w:rsidR="00D21F8A" w:rsidRPr="00D86664">
        <w:rPr>
          <w:rFonts w:ascii="Times New Roman" w:hAnsi="Times New Roman" w:cs="Times New Roman"/>
        </w:rPr>
        <w:t>impose corporate responsibility on the employees to show Financial Reports, while section 404 involves</w:t>
      </w:r>
      <w:r w:rsidR="00B10964" w:rsidRPr="00D86664">
        <w:rPr>
          <w:rFonts w:ascii="Times New Roman" w:hAnsi="Times New Roman" w:cs="Times New Roman"/>
        </w:rPr>
        <w:t xml:space="preserve"> management assessment and the transparent of internal funds</w:t>
      </w:r>
      <w:sdt>
        <w:sdtPr>
          <w:rPr>
            <w:rFonts w:ascii="Times New Roman" w:hAnsi="Times New Roman" w:cs="Times New Roman"/>
          </w:rPr>
          <w:id w:val="-1099178414"/>
          <w:citation/>
        </w:sdtPr>
        <w:sdtContent>
          <w:r w:rsidR="00A61881" w:rsidRPr="00D86664">
            <w:rPr>
              <w:rFonts w:ascii="Times New Roman" w:hAnsi="Times New Roman" w:cs="Times New Roman"/>
            </w:rPr>
            <w:fldChar w:fldCharType="begin"/>
          </w:r>
          <w:r w:rsidR="00A61881" w:rsidRPr="00D86664">
            <w:rPr>
              <w:rFonts w:ascii="Times New Roman" w:hAnsi="Times New Roman" w:cs="Times New Roman"/>
            </w:rPr>
            <w:instrText xml:space="preserve"> CITATION WGe05 \l 1033 </w:instrText>
          </w:r>
          <w:r w:rsidR="00A61881" w:rsidRPr="00D86664">
            <w:rPr>
              <w:rFonts w:ascii="Times New Roman" w:hAnsi="Times New Roman" w:cs="Times New Roman"/>
            </w:rPr>
            <w:fldChar w:fldCharType="separate"/>
          </w:r>
          <w:r w:rsidR="00A61881" w:rsidRPr="00D86664">
            <w:rPr>
              <w:rFonts w:ascii="Times New Roman" w:hAnsi="Times New Roman" w:cs="Times New Roman"/>
              <w:noProof/>
            </w:rPr>
            <w:t xml:space="preserve"> (W Ge, 2005)</w:t>
          </w:r>
          <w:r w:rsidR="00A61881" w:rsidRPr="00D86664">
            <w:rPr>
              <w:rFonts w:ascii="Times New Roman" w:hAnsi="Times New Roman" w:cs="Times New Roman"/>
            </w:rPr>
            <w:fldChar w:fldCharType="end"/>
          </w:r>
        </w:sdtContent>
      </w:sdt>
      <w:r w:rsidR="00B10964" w:rsidRPr="00D86664">
        <w:rPr>
          <w:rFonts w:ascii="Times New Roman" w:hAnsi="Times New Roman" w:cs="Times New Roman"/>
        </w:rPr>
        <w:t>. And lastly, the Jumpstart</w:t>
      </w:r>
      <w:r w:rsidR="00C90FAF" w:rsidRPr="00D86664">
        <w:rPr>
          <w:rFonts w:ascii="Times New Roman" w:hAnsi="Times New Roman" w:cs="Times New Roman"/>
        </w:rPr>
        <w:t xml:space="preserve"> Our Business Startup Act 2012, also has made the IPO’s to expand and grow in an expansive manner. </w:t>
      </w:r>
      <w:r w:rsidR="0018263B" w:rsidRPr="00D86664">
        <w:rPr>
          <w:rFonts w:ascii="Times New Roman" w:hAnsi="Times New Roman" w:cs="Times New Roman"/>
        </w:rPr>
        <w:t xml:space="preserve">The risks of failure or bankruptcy can be well examined through the laws sanctioned within these acts. </w:t>
      </w:r>
      <w:r w:rsidR="00C90FAF" w:rsidRPr="00D86664">
        <w:rPr>
          <w:rFonts w:ascii="Times New Roman" w:hAnsi="Times New Roman" w:cs="Times New Roman"/>
        </w:rPr>
        <w:t>The</w:t>
      </w:r>
      <w:r w:rsidR="0018263B" w:rsidRPr="00D86664">
        <w:rPr>
          <w:rFonts w:ascii="Times New Roman" w:hAnsi="Times New Roman" w:cs="Times New Roman"/>
        </w:rPr>
        <w:t>refore</w:t>
      </w:r>
      <w:r w:rsidR="00C90FAF" w:rsidRPr="00D86664">
        <w:rPr>
          <w:rFonts w:ascii="Times New Roman" w:hAnsi="Times New Roman" w:cs="Times New Roman"/>
        </w:rPr>
        <w:t xml:space="preserve"> compliance </w:t>
      </w:r>
      <w:r w:rsidR="004E28EA" w:rsidRPr="00D86664">
        <w:rPr>
          <w:rFonts w:ascii="Times New Roman" w:hAnsi="Times New Roman" w:cs="Times New Roman"/>
        </w:rPr>
        <w:t>with</w:t>
      </w:r>
      <w:r w:rsidR="00C90FAF" w:rsidRPr="00D86664">
        <w:rPr>
          <w:rFonts w:ascii="Times New Roman" w:hAnsi="Times New Roman" w:cs="Times New Roman"/>
        </w:rPr>
        <w:t xml:space="preserve"> this law offers the encouragement to invest in IPOs and regulate them for the shareholders. These laws determine and ensure the business practice for the improvement </w:t>
      </w:r>
      <w:r w:rsidR="004E28EA" w:rsidRPr="00D86664">
        <w:rPr>
          <w:rFonts w:ascii="Times New Roman" w:hAnsi="Times New Roman" w:cs="Times New Roman"/>
        </w:rPr>
        <w:t>i</w:t>
      </w:r>
      <w:r w:rsidR="00C90FAF" w:rsidRPr="00D86664">
        <w:rPr>
          <w:rFonts w:ascii="Times New Roman" w:hAnsi="Times New Roman" w:cs="Times New Roman"/>
        </w:rPr>
        <w:t>n the overall p</w:t>
      </w:r>
      <w:r w:rsidR="0018263B" w:rsidRPr="00D86664">
        <w:rPr>
          <w:rFonts w:ascii="Times New Roman" w:hAnsi="Times New Roman" w:cs="Times New Roman"/>
        </w:rPr>
        <w:t>erformance of the company</w:t>
      </w:r>
    </w:p>
    <w:p w:rsidR="00314E3A" w:rsidRPr="00D86664" w:rsidRDefault="0018263B" w:rsidP="00D86664">
      <w:pPr>
        <w:pStyle w:val="ListParagraph"/>
        <w:ind w:left="670"/>
        <w:jc w:val="both"/>
        <w:rPr>
          <w:rFonts w:ascii="Times New Roman" w:hAnsi="Times New Roman" w:cs="Times New Roman"/>
        </w:rPr>
      </w:pPr>
      <w:r w:rsidRPr="00D86664">
        <w:rPr>
          <w:rFonts w:ascii="Times New Roman" w:hAnsi="Times New Roman" w:cs="Times New Roman"/>
        </w:rPr>
        <w:tab/>
      </w:r>
    </w:p>
    <w:p w:rsidR="004E28EA" w:rsidRPr="00D86664" w:rsidRDefault="004E28EA" w:rsidP="00D86664">
      <w:pPr>
        <w:pStyle w:val="ListParagraph"/>
        <w:ind w:left="670"/>
        <w:jc w:val="both"/>
        <w:rPr>
          <w:rFonts w:ascii="Times New Roman" w:hAnsi="Times New Roman" w:cs="Times New Roman"/>
        </w:rPr>
      </w:pPr>
    </w:p>
    <w:p w:rsidR="004E28EA" w:rsidRPr="00D86664" w:rsidRDefault="004E28EA" w:rsidP="00D86664">
      <w:pPr>
        <w:pStyle w:val="ListParagraph"/>
        <w:ind w:left="670"/>
        <w:jc w:val="both"/>
        <w:rPr>
          <w:rFonts w:ascii="Times New Roman" w:hAnsi="Times New Roman" w:cs="Times New Roman"/>
        </w:rPr>
      </w:pPr>
    </w:p>
    <w:p w:rsidR="004E28EA" w:rsidRPr="00D86664" w:rsidRDefault="004E28EA" w:rsidP="00D86664">
      <w:pPr>
        <w:pStyle w:val="ListParagraph"/>
        <w:ind w:left="670"/>
        <w:jc w:val="both"/>
        <w:rPr>
          <w:rFonts w:ascii="Times New Roman" w:hAnsi="Times New Roman" w:cs="Times New Roman"/>
        </w:rPr>
      </w:pPr>
    </w:p>
    <w:p w:rsidR="004E28EA" w:rsidRPr="00D86664" w:rsidRDefault="0007494A" w:rsidP="00D86664">
      <w:pPr>
        <w:pStyle w:val="Title2"/>
        <w:jc w:val="left"/>
        <w:rPr>
          <w:rFonts w:ascii="Times New Roman" w:hAnsi="Times New Roman" w:cs="Times New Roman"/>
        </w:rPr>
      </w:pPr>
      <w:r w:rsidRPr="00D86664">
        <w:rPr>
          <w:rFonts w:ascii="Times New Roman" w:hAnsi="Times New Roman" w:cs="Times New Roman"/>
        </w:rPr>
        <w:lastRenderedPageBreak/>
        <w:t>3.</w:t>
      </w:r>
      <w:r w:rsidR="0018263B" w:rsidRPr="00D86664">
        <w:rPr>
          <w:rFonts w:ascii="Times New Roman" w:hAnsi="Times New Roman" w:cs="Times New Roman"/>
        </w:rPr>
        <w:tab/>
        <w:t xml:space="preserve">Fred’s Miracle cough syrup company need to strategize its policy for effective growth and expansion </w:t>
      </w:r>
      <w:r w:rsidR="00A94F84" w:rsidRPr="00D86664">
        <w:rPr>
          <w:rFonts w:ascii="Times New Roman" w:hAnsi="Times New Roman" w:cs="Times New Roman"/>
        </w:rPr>
        <w:t xml:space="preserve">to become a public company. </w:t>
      </w:r>
      <w:r w:rsidRPr="00D86664">
        <w:rPr>
          <w:rFonts w:ascii="Times New Roman" w:hAnsi="Times New Roman" w:cs="Times New Roman"/>
        </w:rPr>
        <w:t>Fred needs to make sure the standards and the</w:t>
      </w:r>
      <w:r w:rsidR="004E28EA" w:rsidRPr="00D86664">
        <w:rPr>
          <w:rFonts w:ascii="Times New Roman" w:hAnsi="Times New Roman" w:cs="Times New Roman"/>
        </w:rPr>
        <w:t xml:space="preserve"> guidelines under the Security E</w:t>
      </w:r>
      <w:r w:rsidRPr="00D86664">
        <w:rPr>
          <w:rFonts w:ascii="Times New Roman" w:hAnsi="Times New Roman" w:cs="Times New Roman"/>
        </w:rPr>
        <w:t xml:space="preserve">xchange </w:t>
      </w:r>
      <w:r w:rsidR="004E28EA" w:rsidRPr="00D86664">
        <w:rPr>
          <w:rFonts w:ascii="Times New Roman" w:hAnsi="Times New Roman" w:cs="Times New Roman"/>
        </w:rPr>
        <w:t>C</w:t>
      </w:r>
      <w:r w:rsidRPr="00D86664">
        <w:rPr>
          <w:rFonts w:ascii="Times New Roman" w:hAnsi="Times New Roman" w:cs="Times New Roman"/>
        </w:rPr>
        <w:t xml:space="preserve">ommission are followed accurately and under no pretenses being ignored.  The company should comply with the standards and regulations set by the SEC, they should involve in practices that ensure efficiency in delivering promises for the shareholders and investors. The company shall be monitored and internally controlled in a manner so that fraudulent activities are averted and minimized. The financial records shall be audited regularly for accuracy. The business operations and transactions should be maintained with the help of the performance mechanisms that help reduce inefficiencies and develop better. The company staff shall be recruitment on the basis of honesty without any discrepancies. </w:t>
      </w:r>
      <w:r w:rsidR="004E28EA" w:rsidRPr="00D86664">
        <w:rPr>
          <w:rFonts w:ascii="Times New Roman" w:hAnsi="Times New Roman" w:cs="Times New Roman"/>
        </w:rPr>
        <w:t>Fred should also look forward to gaining copyrights and patents for the cough syrup, under intellectual property rights. The company should invest in the streamlining of technology to gain more investors</w:t>
      </w:r>
      <w:sdt>
        <w:sdtPr>
          <w:rPr>
            <w:rFonts w:ascii="Times New Roman" w:hAnsi="Times New Roman" w:cs="Times New Roman"/>
          </w:rPr>
          <w:id w:val="-1398195946"/>
          <w:citation/>
        </w:sdtPr>
        <w:sdtContent>
          <w:r w:rsidR="00D86664" w:rsidRPr="00D86664">
            <w:rPr>
              <w:rFonts w:ascii="Times New Roman" w:hAnsi="Times New Roman" w:cs="Times New Roman"/>
            </w:rPr>
            <w:fldChar w:fldCharType="begin"/>
          </w:r>
          <w:r w:rsidR="00D86664" w:rsidRPr="00D86664">
            <w:rPr>
              <w:rFonts w:ascii="Times New Roman" w:hAnsi="Times New Roman" w:cs="Times New Roman"/>
            </w:rPr>
            <w:instrText xml:space="preserve"> CITATION CBo15 \l 1033 </w:instrText>
          </w:r>
          <w:r w:rsidR="00D86664" w:rsidRPr="00D86664">
            <w:rPr>
              <w:rFonts w:ascii="Times New Roman" w:hAnsi="Times New Roman" w:cs="Times New Roman"/>
            </w:rPr>
            <w:fldChar w:fldCharType="separate"/>
          </w:r>
          <w:r w:rsidR="00D86664" w:rsidRPr="00D86664">
            <w:rPr>
              <w:rFonts w:ascii="Times New Roman" w:hAnsi="Times New Roman" w:cs="Times New Roman"/>
              <w:noProof/>
            </w:rPr>
            <w:t xml:space="preserve"> (C Bones, 2015)</w:t>
          </w:r>
          <w:r w:rsidR="00D86664" w:rsidRPr="00D86664">
            <w:rPr>
              <w:rFonts w:ascii="Times New Roman" w:hAnsi="Times New Roman" w:cs="Times New Roman"/>
            </w:rPr>
            <w:fldChar w:fldCharType="end"/>
          </w:r>
        </w:sdtContent>
      </w:sdt>
      <w:r w:rsidR="004E28EA" w:rsidRPr="00D86664">
        <w:rPr>
          <w:rFonts w:ascii="Times New Roman" w:hAnsi="Times New Roman" w:cs="Times New Roman"/>
        </w:rPr>
        <w:t xml:space="preserve">. The streamlining use information systems to evaluate the performance of the business. In addition to this, it helps the company grow. Lastly, involving the stakeholders in making important decisions. The organization should take the consensus of the other investors and their valuable advice in the interest of the company so that the company can run efficiently and deliver to the market successfully. </w:t>
      </w:r>
    </w:p>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sdt>
      <w:sdtPr>
        <w:rPr>
          <w:rFonts w:ascii="Times New Roman" w:hAnsi="Times New Roman" w:cs="Times New Roman"/>
        </w:rPr>
        <w:id w:val="-829666600"/>
        <w:docPartObj>
          <w:docPartGallery w:val="Bibliographies"/>
          <w:docPartUnique/>
        </w:docPartObj>
      </w:sdtPr>
      <w:sdtEndPr>
        <w:rPr>
          <w:rFonts w:eastAsiaTheme="minorEastAsia"/>
          <w:b w:val="0"/>
          <w:bCs w:val="0"/>
        </w:rPr>
      </w:sdtEndPr>
      <w:sdtContent>
        <w:bookmarkStart w:id="0" w:name="_GoBack" w:displacedByCustomXml="prev"/>
        <w:bookmarkEnd w:id="0" w:displacedByCustomXml="prev"/>
        <w:p w:rsidR="00D86664" w:rsidRPr="00D86664" w:rsidRDefault="00D86664" w:rsidP="00D86664">
          <w:pPr>
            <w:pStyle w:val="Heading1"/>
            <w:rPr>
              <w:rFonts w:ascii="Times New Roman" w:hAnsi="Times New Roman" w:cs="Times New Roman"/>
            </w:rPr>
          </w:pPr>
          <w:r w:rsidRPr="00D86664">
            <w:rPr>
              <w:rFonts w:ascii="Times New Roman" w:hAnsi="Times New Roman" w:cs="Times New Roman"/>
            </w:rPr>
            <w:t>References</w:t>
          </w:r>
        </w:p>
        <w:sdt>
          <w:sdtPr>
            <w:rPr>
              <w:rFonts w:ascii="Times New Roman" w:hAnsi="Times New Roman" w:cs="Times New Roman"/>
            </w:rPr>
            <w:id w:val="-573587230"/>
            <w:bibliography/>
          </w:sdtPr>
          <w:sdtContent>
            <w:p w:rsidR="00D86664" w:rsidRPr="00D86664" w:rsidRDefault="00D86664" w:rsidP="00D86664">
              <w:pPr>
                <w:pStyle w:val="Bibliography"/>
                <w:rPr>
                  <w:rFonts w:ascii="Times New Roman" w:hAnsi="Times New Roman" w:cs="Times New Roman"/>
                  <w:noProof/>
                </w:rPr>
              </w:pPr>
              <w:r w:rsidRPr="00D86664">
                <w:rPr>
                  <w:rFonts w:ascii="Times New Roman" w:hAnsi="Times New Roman" w:cs="Times New Roman"/>
                </w:rPr>
                <w:fldChar w:fldCharType="begin"/>
              </w:r>
              <w:r w:rsidRPr="00D86664">
                <w:rPr>
                  <w:rFonts w:ascii="Times New Roman" w:hAnsi="Times New Roman" w:cs="Times New Roman"/>
                </w:rPr>
                <w:instrText xml:space="preserve"> BIBLIOGRAPHY </w:instrText>
              </w:r>
              <w:r w:rsidRPr="00D86664">
                <w:rPr>
                  <w:rFonts w:ascii="Times New Roman" w:hAnsi="Times New Roman" w:cs="Times New Roman"/>
                </w:rPr>
                <w:fldChar w:fldCharType="separate"/>
              </w:r>
              <w:r w:rsidRPr="00D86664">
                <w:rPr>
                  <w:rFonts w:ascii="Times New Roman" w:hAnsi="Times New Roman" w:cs="Times New Roman"/>
                  <w:noProof/>
                </w:rPr>
                <w:t xml:space="preserve">Benston, G. (1973). Required disclosure and the stock market: An evaluation of the Securities Exchange Act of 1934. </w:t>
              </w:r>
              <w:r w:rsidRPr="00D86664">
                <w:rPr>
                  <w:rFonts w:ascii="Times New Roman" w:hAnsi="Times New Roman" w:cs="Times New Roman"/>
                  <w:iCs/>
                  <w:noProof/>
                </w:rPr>
                <w:t>The American Economic Review</w:t>
              </w:r>
              <w:r w:rsidRPr="00D86664">
                <w:rPr>
                  <w:rFonts w:ascii="Times New Roman" w:hAnsi="Times New Roman" w:cs="Times New Roman"/>
                  <w:noProof/>
                </w:rPr>
                <w:t>, 132-155.</w:t>
              </w:r>
            </w:p>
            <w:p w:rsidR="00D86664" w:rsidRPr="00D86664" w:rsidRDefault="00D86664" w:rsidP="00D86664">
              <w:pPr>
                <w:pStyle w:val="Bibliography"/>
                <w:rPr>
                  <w:rFonts w:ascii="Times New Roman" w:hAnsi="Times New Roman" w:cs="Times New Roman"/>
                  <w:noProof/>
                </w:rPr>
              </w:pPr>
              <w:r w:rsidRPr="00D86664">
                <w:rPr>
                  <w:rFonts w:ascii="Times New Roman" w:hAnsi="Times New Roman" w:cs="Times New Roman"/>
                  <w:noProof/>
                </w:rPr>
                <w:t xml:space="preserve">C Bones, J. H. (2015). Leading digital strategy: driving business growth through effective e-commerce. </w:t>
              </w:r>
              <w:r w:rsidRPr="00D86664">
                <w:rPr>
                  <w:rFonts w:ascii="Times New Roman" w:hAnsi="Times New Roman" w:cs="Times New Roman"/>
                  <w:iCs/>
                  <w:noProof/>
                </w:rPr>
                <w:t>Kogan Page Publishers</w:t>
              </w:r>
              <w:r w:rsidRPr="00D86664">
                <w:rPr>
                  <w:rFonts w:ascii="Times New Roman" w:hAnsi="Times New Roman" w:cs="Times New Roman"/>
                  <w:noProof/>
                </w:rPr>
                <w:t>.</w:t>
              </w:r>
            </w:p>
            <w:p w:rsidR="00D86664" w:rsidRPr="00D86664" w:rsidRDefault="00D86664" w:rsidP="00D86664">
              <w:pPr>
                <w:pStyle w:val="Bibliography"/>
                <w:rPr>
                  <w:rFonts w:ascii="Times New Roman" w:hAnsi="Times New Roman" w:cs="Times New Roman"/>
                  <w:noProof/>
                </w:rPr>
              </w:pPr>
              <w:r w:rsidRPr="00D86664">
                <w:rPr>
                  <w:rFonts w:ascii="Times New Roman" w:hAnsi="Times New Roman" w:cs="Times New Roman"/>
                  <w:noProof/>
                </w:rPr>
                <w:t xml:space="preserve">Certo, S. T. (2003). Influencing initial public offering investors with prestige: Signaling with board structures. </w:t>
              </w:r>
              <w:r w:rsidRPr="00D86664">
                <w:rPr>
                  <w:rFonts w:ascii="Times New Roman" w:hAnsi="Times New Roman" w:cs="Times New Roman"/>
                  <w:iCs/>
                  <w:noProof/>
                </w:rPr>
                <w:t>Academy of Management Review</w:t>
              </w:r>
              <w:r w:rsidRPr="00D86664">
                <w:rPr>
                  <w:rFonts w:ascii="Times New Roman" w:hAnsi="Times New Roman" w:cs="Times New Roman"/>
                  <w:noProof/>
                </w:rPr>
                <w:t>.</w:t>
              </w:r>
            </w:p>
            <w:p w:rsidR="00D86664" w:rsidRPr="00D86664" w:rsidRDefault="00D86664" w:rsidP="00D86664">
              <w:pPr>
                <w:pStyle w:val="Bibliography"/>
                <w:rPr>
                  <w:rFonts w:ascii="Times New Roman" w:hAnsi="Times New Roman" w:cs="Times New Roman"/>
                  <w:noProof/>
                </w:rPr>
              </w:pPr>
              <w:r w:rsidRPr="00D86664">
                <w:rPr>
                  <w:rFonts w:ascii="Times New Roman" w:hAnsi="Times New Roman" w:cs="Times New Roman"/>
                  <w:noProof/>
                </w:rPr>
                <w:t xml:space="preserve">W Ge, S. M. (2005). The disclosure of material weaknesses in internal control after the Sarbanes-Oxley Act. </w:t>
              </w:r>
              <w:r w:rsidRPr="00D86664">
                <w:rPr>
                  <w:rFonts w:ascii="Times New Roman" w:hAnsi="Times New Roman" w:cs="Times New Roman"/>
                  <w:iCs/>
                  <w:noProof/>
                </w:rPr>
                <w:t>Accounting Horizons</w:t>
              </w:r>
              <w:r w:rsidRPr="00D86664">
                <w:rPr>
                  <w:rFonts w:ascii="Times New Roman" w:hAnsi="Times New Roman" w:cs="Times New Roman"/>
                  <w:noProof/>
                </w:rPr>
                <w:t>, 137-158.</w:t>
              </w:r>
            </w:p>
            <w:p w:rsidR="00D86664" w:rsidRPr="00D86664" w:rsidRDefault="00D86664" w:rsidP="00D86664">
              <w:pPr>
                <w:rPr>
                  <w:rFonts w:ascii="Times New Roman" w:hAnsi="Times New Roman" w:cs="Times New Roman"/>
                </w:rPr>
              </w:pPr>
              <w:r w:rsidRPr="00D86664">
                <w:rPr>
                  <w:rFonts w:ascii="Times New Roman" w:hAnsi="Times New Roman" w:cs="Times New Roman"/>
                  <w:b/>
                  <w:bCs/>
                  <w:noProof/>
                </w:rPr>
                <w:fldChar w:fldCharType="end"/>
              </w:r>
            </w:p>
          </w:sdtContent>
        </w:sdt>
      </w:sdtContent>
    </w:sdt>
    <w:p w:rsidR="00D86664" w:rsidRPr="00D86664" w:rsidRDefault="00D86664" w:rsidP="00D86664">
      <w:pPr>
        <w:pStyle w:val="Title2"/>
        <w:jc w:val="left"/>
        <w:rPr>
          <w:rFonts w:ascii="Times New Roman" w:hAnsi="Times New Roman" w:cs="Times New Roman"/>
        </w:rPr>
      </w:pPr>
    </w:p>
    <w:p w:rsidR="00D86664" w:rsidRPr="00D86664" w:rsidRDefault="00D86664" w:rsidP="00D86664">
      <w:pPr>
        <w:pStyle w:val="Title2"/>
        <w:jc w:val="left"/>
        <w:rPr>
          <w:rFonts w:ascii="Times New Roman" w:hAnsi="Times New Roman" w:cs="Times New Roman"/>
        </w:rPr>
      </w:pPr>
    </w:p>
    <w:p w:rsidR="0018263B" w:rsidRPr="00D86664" w:rsidRDefault="0018263B" w:rsidP="00D86664">
      <w:pPr>
        <w:pStyle w:val="Title2"/>
        <w:jc w:val="left"/>
        <w:rPr>
          <w:rFonts w:ascii="Times New Roman" w:hAnsi="Times New Roman" w:cs="Times New Roman"/>
        </w:rPr>
      </w:pPr>
    </w:p>
    <w:p w:rsidR="0018263B" w:rsidRPr="00D86664" w:rsidRDefault="0018263B" w:rsidP="00D86664">
      <w:pPr>
        <w:pStyle w:val="Title2"/>
        <w:jc w:val="left"/>
        <w:rPr>
          <w:rFonts w:ascii="Times New Roman" w:hAnsi="Times New Roman" w:cs="Times New Roman"/>
        </w:rPr>
      </w:pPr>
    </w:p>
    <w:p w:rsidR="0018263B" w:rsidRPr="00D86664" w:rsidRDefault="0018263B" w:rsidP="00D86664">
      <w:pPr>
        <w:pStyle w:val="Title2"/>
        <w:jc w:val="left"/>
        <w:rPr>
          <w:rFonts w:ascii="Times New Roman" w:hAnsi="Times New Roman" w:cs="Times New Roman"/>
        </w:rPr>
      </w:pPr>
    </w:p>
    <w:p w:rsidR="00023C0D" w:rsidRPr="00D86664" w:rsidRDefault="00023C0D" w:rsidP="00D86664">
      <w:pPr>
        <w:pStyle w:val="Title2"/>
        <w:rPr>
          <w:rFonts w:ascii="Times New Roman" w:hAnsi="Times New Roman" w:cs="Times New Roman"/>
        </w:rPr>
      </w:pPr>
    </w:p>
    <w:sectPr w:rsidR="00023C0D" w:rsidRPr="00D8666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5E" w:rsidRDefault="00303C5E">
      <w:pPr>
        <w:spacing w:line="240" w:lineRule="auto"/>
      </w:pPr>
      <w:r>
        <w:separator/>
      </w:r>
    </w:p>
    <w:p w:rsidR="00303C5E" w:rsidRDefault="00303C5E"/>
  </w:endnote>
  <w:endnote w:type="continuationSeparator" w:id="0">
    <w:p w:rsidR="00303C5E" w:rsidRDefault="00303C5E">
      <w:pPr>
        <w:spacing w:line="240" w:lineRule="auto"/>
      </w:pPr>
      <w:r>
        <w:continuationSeparator/>
      </w:r>
    </w:p>
    <w:p w:rsidR="00303C5E" w:rsidRDefault="00303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5E" w:rsidRDefault="00303C5E">
      <w:pPr>
        <w:spacing w:line="240" w:lineRule="auto"/>
      </w:pPr>
      <w:r>
        <w:separator/>
      </w:r>
    </w:p>
    <w:p w:rsidR="00303C5E" w:rsidRDefault="00303C5E"/>
  </w:footnote>
  <w:footnote w:type="continuationSeparator" w:id="0">
    <w:p w:rsidR="00303C5E" w:rsidRDefault="00303C5E">
      <w:pPr>
        <w:spacing w:line="240" w:lineRule="auto"/>
      </w:pPr>
      <w:r>
        <w:continuationSeparator/>
      </w:r>
    </w:p>
    <w:p w:rsidR="00303C5E" w:rsidRDefault="00303C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023C0D" w:rsidRDefault="00314E3A" w:rsidP="00023C0D">
    <w:pPr>
      <w:pStyle w:val="Header"/>
    </w:pPr>
    <w:r>
      <w:rPr>
        <w:rStyle w:val="Strong"/>
      </w:rPr>
      <w:t>Case Study Three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Running head:</w:t>
    </w:r>
    <w:r w:rsidR="00023C0D" w:rsidRPr="00023C0D">
      <w:t xml:space="preserve"> </w:t>
    </w:r>
    <w:r w:rsidR="00314E3A">
      <w:t>Case Study Three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0DA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1A85AAE"/>
    <w:multiLevelType w:val="hybridMultilevel"/>
    <w:tmpl w:val="2AEE621E"/>
    <w:lvl w:ilvl="0" w:tplc="6AF6DCE0">
      <w:start w:val="1"/>
      <w:numFmt w:val="decimal"/>
      <w:lvlText w:val="%1，"/>
      <w:lvlJc w:val="left"/>
      <w:pPr>
        <w:ind w:left="760" w:hanging="40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LQ0NjQ2NDExM7NU0lEKTi0uzszPAykwrAUAwWRvOSwAAAA="/>
  </w:docVars>
  <w:rsids>
    <w:rsidRoot w:val="005C39B5"/>
    <w:rsid w:val="00023C0D"/>
    <w:rsid w:val="0007494A"/>
    <w:rsid w:val="000A40AE"/>
    <w:rsid w:val="000D3F41"/>
    <w:rsid w:val="0018263B"/>
    <w:rsid w:val="001C19A3"/>
    <w:rsid w:val="0023764C"/>
    <w:rsid w:val="00303C5E"/>
    <w:rsid w:val="00314E3A"/>
    <w:rsid w:val="00355DCA"/>
    <w:rsid w:val="004660EC"/>
    <w:rsid w:val="004724D7"/>
    <w:rsid w:val="004C334F"/>
    <w:rsid w:val="004E28EA"/>
    <w:rsid w:val="004F68A0"/>
    <w:rsid w:val="00551A02"/>
    <w:rsid w:val="005534FA"/>
    <w:rsid w:val="005B3A43"/>
    <w:rsid w:val="005C39B5"/>
    <w:rsid w:val="005D3A03"/>
    <w:rsid w:val="00691E85"/>
    <w:rsid w:val="006E00E5"/>
    <w:rsid w:val="008002C0"/>
    <w:rsid w:val="00843052"/>
    <w:rsid w:val="008442D5"/>
    <w:rsid w:val="008A6F81"/>
    <w:rsid w:val="008C5323"/>
    <w:rsid w:val="008D477A"/>
    <w:rsid w:val="009A6A3B"/>
    <w:rsid w:val="009F39E7"/>
    <w:rsid w:val="00A40DA1"/>
    <w:rsid w:val="00A61881"/>
    <w:rsid w:val="00A85310"/>
    <w:rsid w:val="00A94F84"/>
    <w:rsid w:val="00B10964"/>
    <w:rsid w:val="00B823AA"/>
    <w:rsid w:val="00BA45DB"/>
    <w:rsid w:val="00BF4184"/>
    <w:rsid w:val="00C0601E"/>
    <w:rsid w:val="00C31D30"/>
    <w:rsid w:val="00C90FAF"/>
    <w:rsid w:val="00CC53C7"/>
    <w:rsid w:val="00CD6E39"/>
    <w:rsid w:val="00CF6E91"/>
    <w:rsid w:val="00D21F8A"/>
    <w:rsid w:val="00D85B68"/>
    <w:rsid w:val="00D86664"/>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4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4427413">
      <w:bodyDiv w:val="1"/>
      <w:marLeft w:val="0"/>
      <w:marRight w:val="0"/>
      <w:marTop w:val="0"/>
      <w:marBottom w:val="0"/>
      <w:divBdr>
        <w:top w:val="none" w:sz="0" w:space="0" w:color="auto"/>
        <w:left w:val="none" w:sz="0" w:space="0" w:color="auto"/>
        <w:bottom w:val="none" w:sz="0" w:space="0" w:color="auto"/>
        <w:right w:val="none" w:sz="0" w:space="0" w:color="auto"/>
      </w:divBdr>
    </w:div>
    <w:div w:id="782041573">
      <w:bodyDiv w:val="1"/>
      <w:marLeft w:val="0"/>
      <w:marRight w:val="0"/>
      <w:marTop w:val="0"/>
      <w:marBottom w:val="0"/>
      <w:divBdr>
        <w:top w:val="none" w:sz="0" w:space="0" w:color="auto"/>
        <w:left w:val="none" w:sz="0" w:space="0" w:color="auto"/>
        <w:bottom w:val="none" w:sz="0" w:space="0" w:color="auto"/>
        <w:right w:val="none" w:sz="0" w:space="0" w:color="auto"/>
      </w:divBdr>
    </w:div>
    <w:div w:id="95664053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447647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396690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STr03</b:Tag>
    <b:SourceType>JournalArticle</b:SourceType>
    <b:Guid>{C64C53AC-77BB-4C1A-92D0-7733CA9F53E1}</b:Guid>
    <b:Author>
      <b:Author>
        <b:NameList>
          <b:Person>
            <b:Last>Certo</b:Last>
            <b:First>S.</b:First>
            <b:Middle>Trevis</b:Middle>
          </b:Person>
        </b:NameList>
      </b:Author>
    </b:Author>
    <b:Title>Influencing initial public offering investors with prestige: Signaling with board structures</b:Title>
    <b:JournalName>Academy of Management Review</b:JournalName>
    <b:Year>2003</b:Year>
    <b:RefOrder>1</b:RefOrder>
  </b:Source>
  <b:Source>
    <b:Tag>GJB73</b:Tag>
    <b:SourceType>JournalArticle</b:SourceType>
    <b:Guid>{43B1601E-52C9-4351-AC26-8432986FFF46}</b:Guid>
    <b:Author>
      <b:Author>
        <b:NameList>
          <b:Person>
            <b:Last>Benston</b:Last>
            <b:First>GJ</b:First>
          </b:Person>
        </b:NameList>
      </b:Author>
    </b:Author>
    <b:Title>Required disclosure and the stock market: An evaluation of the Securities Exchange Act of 1934</b:Title>
    <b:JournalName>The American Economic Review</b:JournalName>
    <b:Year>1973</b:Year>
    <b:Pages>132-155</b:Pages>
    <b:RefOrder>2</b:RefOrder>
  </b:Source>
  <b:Source>
    <b:Tag>WGe05</b:Tag>
    <b:SourceType>JournalArticle</b:SourceType>
    <b:Guid>{8E0066B2-5F80-4E66-BA3D-B58EAF9405E7}</b:Guid>
    <b:Author>
      <b:Author>
        <b:NameList>
          <b:Person>
            <b:Last>W Ge</b:Last>
            <b:First>S</b:First>
            <b:Middle>McVay</b:Middle>
          </b:Person>
        </b:NameList>
      </b:Author>
    </b:Author>
    <b:Title>The disclosure of material weaknesses in internal control after the Sarbanes-Oxley Act</b:Title>
    <b:JournalName> Accounting Horizons</b:JournalName>
    <b:Year>2005</b:Year>
    <b:Pages>137-158</b:Pages>
    <b:RefOrder>3</b:RefOrder>
  </b:Source>
  <b:Source>
    <b:Tag>CBo15</b:Tag>
    <b:SourceType>JournalArticle</b:SourceType>
    <b:Guid>{16D2D115-1672-4611-BFBE-6A92A7603B1A}</b:Guid>
    <b:Author>
      <b:Author>
        <b:NameList>
          <b:Person>
            <b:Last>C Bones</b:Last>
            <b:First>J</b:First>
            <b:Middle>Hammersley</b:Middle>
          </b:Person>
        </b:NameList>
      </b:Author>
    </b:Author>
    <b:Title>Leading digital strategy: driving business growth through effective e-commerce</b:Title>
    <b:JournalName>Kogan Page Publishers</b:JournalName>
    <b:Year>2015</b:Year>
    <b:RefOrder>4</b:RefOrder>
  </b:Source>
</b:Sources>
</file>

<file path=customXml/itemProps1.xml><?xml version="1.0" encoding="utf-8"?>
<ds:datastoreItem xmlns:ds="http://schemas.openxmlformats.org/officeDocument/2006/customXml" ds:itemID="{1B80977A-B765-4168-8B37-C8600EC8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2019-08-17T08:55:00Z</dcterms:created>
  <dcterms:modified xsi:type="dcterms:W3CDTF">2019-08-17T08:55:00Z</dcterms:modified>
</cp:coreProperties>
</file>