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40C2" w14:textId="77777777" w:rsidR="00AC157C" w:rsidRDefault="00AC157C" w:rsidP="00AC157C">
      <w:pPr>
        <w:spacing w:line="480" w:lineRule="auto"/>
        <w:ind w:firstLine="720"/>
        <w:rPr>
          <w:rFonts w:ascii="Times New Roman" w:hAnsi="Times New Roman" w:cs="Times New Roman"/>
          <w:sz w:val="24"/>
          <w:szCs w:val="24"/>
        </w:rPr>
      </w:pPr>
    </w:p>
    <w:p w14:paraId="6A8F9FD1" w14:textId="3A468532" w:rsidR="001F6A7B" w:rsidRPr="00080F7F" w:rsidRDefault="00080F7F" w:rsidP="001F6A7B">
      <w:pPr>
        <w:pStyle w:val="Header"/>
        <w:rPr>
          <w:rFonts w:ascii="Times New Roman" w:hAnsi="Times New Roman" w:cs="Times New Roman"/>
          <w:sz w:val="24"/>
        </w:rPr>
      </w:pPr>
      <w:r w:rsidRPr="00080F7F">
        <w:rPr>
          <w:rFonts w:ascii="Times New Roman" w:hAnsi="Times New Roman" w:cs="Times New Roman"/>
          <w:sz w:val="24"/>
        </w:rPr>
        <w:t xml:space="preserve">RUNNING HEAD: AUDIT </w:t>
      </w:r>
    </w:p>
    <w:p w14:paraId="4A9512D7" w14:textId="77777777" w:rsidR="00AC157C" w:rsidRDefault="00AC157C" w:rsidP="00AC157C">
      <w:pPr>
        <w:spacing w:line="480" w:lineRule="auto"/>
        <w:ind w:firstLine="720"/>
        <w:rPr>
          <w:rFonts w:ascii="Times New Roman" w:hAnsi="Times New Roman" w:cs="Times New Roman"/>
          <w:sz w:val="24"/>
          <w:szCs w:val="24"/>
        </w:rPr>
      </w:pPr>
    </w:p>
    <w:p w14:paraId="54009D11" w14:textId="77777777" w:rsidR="00AC157C" w:rsidRDefault="00AC157C" w:rsidP="00AC157C">
      <w:pPr>
        <w:spacing w:line="480" w:lineRule="auto"/>
        <w:ind w:firstLine="720"/>
        <w:rPr>
          <w:rFonts w:ascii="Times New Roman" w:hAnsi="Times New Roman" w:cs="Times New Roman"/>
          <w:sz w:val="24"/>
          <w:szCs w:val="24"/>
        </w:rPr>
      </w:pPr>
    </w:p>
    <w:p w14:paraId="369682A6" w14:textId="77777777" w:rsidR="00AC157C" w:rsidRDefault="00AC157C" w:rsidP="00AC157C">
      <w:pPr>
        <w:spacing w:line="480" w:lineRule="auto"/>
        <w:ind w:firstLine="720"/>
        <w:rPr>
          <w:rFonts w:ascii="Times New Roman" w:hAnsi="Times New Roman" w:cs="Times New Roman"/>
          <w:sz w:val="24"/>
          <w:szCs w:val="24"/>
        </w:rPr>
      </w:pPr>
    </w:p>
    <w:p w14:paraId="471EDC3E" w14:textId="77777777" w:rsidR="00AC157C" w:rsidRDefault="00AC157C" w:rsidP="00AC157C">
      <w:pPr>
        <w:spacing w:line="480" w:lineRule="auto"/>
        <w:ind w:firstLine="720"/>
        <w:rPr>
          <w:rFonts w:ascii="Times New Roman" w:hAnsi="Times New Roman" w:cs="Times New Roman"/>
          <w:sz w:val="24"/>
          <w:szCs w:val="24"/>
        </w:rPr>
      </w:pPr>
    </w:p>
    <w:p w14:paraId="05F40A5F" w14:textId="77777777" w:rsidR="00AC157C" w:rsidRDefault="00AC157C" w:rsidP="00AC157C">
      <w:pPr>
        <w:spacing w:line="480" w:lineRule="auto"/>
        <w:ind w:firstLine="720"/>
        <w:rPr>
          <w:rFonts w:ascii="Times New Roman" w:hAnsi="Times New Roman" w:cs="Times New Roman"/>
          <w:sz w:val="24"/>
          <w:szCs w:val="24"/>
        </w:rPr>
      </w:pPr>
    </w:p>
    <w:p w14:paraId="7E3E9BCD" w14:textId="77777777" w:rsidR="00AC157C" w:rsidRDefault="00AC157C" w:rsidP="00AC157C">
      <w:pPr>
        <w:spacing w:line="480" w:lineRule="auto"/>
        <w:ind w:firstLine="720"/>
        <w:rPr>
          <w:rFonts w:ascii="Times New Roman" w:hAnsi="Times New Roman" w:cs="Times New Roman"/>
          <w:sz w:val="24"/>
          <w:szCs w:val="24"/>
        </w:rPr>
      </w:pPr>
    </w:p>
    <w:p w14:paraId="42EBF7A4" w14:textId="77777777" w:rsidR="00AC157C" w:rsidRDefault="00AC157C" w:rsidP="00AC157C">
      <w:pPr>
        <w:spacing w:line="480" w:lineRule="auto"/>
        <w:ind w:firstLine="720"/>
        <w:rPr>
          <w:rFonts w:ascii="Times New Roman" w:hAnsi="Times New Roman" w:cs="Times New Roman"/>
          <w:sz w:val="24"/>
          <w:szCs w:val="24"/>
        </w:rPr>
      </w:pPr>
    </w:p>
    <w:p w14:paraId="71882544" w14:textId="77777777" w:rsidR="00AC157C" w:rsidRDefault="00AC157C" w:rsidP="00AC157C">
      <w:pPr>
        <w:spacing w:line="480" w:lineRule="auto"/>
        <w:ind w:firstLine="720"/>
        <w:rPr>
          <w:rFonts w:ascii="Times New Roman" w:hAnsi="Times New Roman" w:cs="Times New Roman"/>
          <w:sz w:val="24"/>
          <w:szCs w:val="24"/>
        </w:rPr>
      </w:pPr>
    </w:p>
    <w:p w14:paraId="0F0AA7FA" w14:textId="77777777" w:rsidR="00AC157C" w:rsidRDefault="00AC157C" w:rsidP="00AC157C">
      <w:pPr>
        <w:spacing w:line="480" w:lineRule="auto"/>
        <w:ind w:firstLine="720"/>
        <w:rPr>
          <w:rFonts w:ascii="Times New Roman" w:hAnsi="Times New Roman" w:cs="Times New Roman"/>
          <w:sz w:val="24"/>
          <w:szCs w:val="24"/>
        </w:rPr>
      </w:pPr>
    </w:p>
    <w:p w14:paraId="26DAE87B" w14:textId="6671666B" w:rsidR="00AC157C" w:rsidRDefault="001D2575" w:rsidP="001D257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Effects of misstatement of various financial events</w:t>
      </w:r>
    </w:p>
    <w:p w14:paraId="652C1012" w14:textId="00441F63" w:rsidR="001D2575" w:rsidRDefault="001D2575" w:rsidP="001D257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14:paraId="2772F595" w14:textId="5074CCAA" w:rsidR="001D2575" w:rsidRDefault="001D2575" w:rsidP="001D257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institution]</w:t>
      </w:r>
    </w:p>
    <w:p w14:paraId="3715752D" w14:textId="77777777" w:rsidR="00AC157C" w:rsidRDefault="00AC157C" w:rsidP="00AC157C">
      <w:pPr>
        <w:spacing w:line="480" w:lineRule="auto"/>
        <w:ind w:firstLine="720"/>
        <w:rPr>
          <w:rFonts w:ascii="Times New Roman" w:hAnsi="Times New Roman" w:cs="Times New Roman"/>
          <w:sz w:val="24"/>
          <w:szCs w:val="24"/>
        </w:rPr>
      </w:pPr>
    </w:p>
    <w:p w14:paraId="4D3D058E" w14:textId="77777777" w:rsidR="00AC157C" w:rsidRDefault="00AC157C" w:rsidP="00AC157C">
      <w:pPr>
        <w:spacing w:line="480" w:lineRule="auto"/>
        <w:ind w:firstLine="720"/>
        <w:rPr>
          <w:rFonts w:ascii="Times New Roman" w:hAnsi="Times New Roman" w:cs="Times New Roman"/>
          <w:sz w:val="24"/>
          <w:szCs w:val="24"/>
        </w:rPr>
      </w:pPr>
    </w:p>
    <w:p w14:paraId="390AF9FE" w14:textId="77777777" w:rsidR="00AC157C" w:rsidRDefault="00AC157C" w:rsidP="00AC157C">
      <w:pPr>
        <w:spacing w:line="480" w:lineRule="auto"/>
        <w:ind w:firstLine="720"/>
        <w:rPr>
          <w:rFonts w:ascii="Times New Roman" w:hAnsi="Times New Roman" w:cs="Times New Roman"/>
          <w:sz w:val="24"/>
          <w:szCs w:val="24"/>
        </w:rPr>
      </w:pPr>
    </w:p>
    <w:p w14:paraId="75256434" w14:textId="77777777" w:rsidR="00AC157C" w:rsidRDefault="00AC157C" w:rsidP="00AC157C">
      <w:pPr>
        <w:spacing w:line="480" w:lineRule="auto"/>
        <w:ind w:firstLine="720"/>
        <w:rPr>
          <w:rFonts w:ascii="Times New Roman" w:hAnsi="Times New Roman" w:cs="Times New Roman"/>
          <w:sz w:val="24"/>
          <w:szCs w:val="24"/>
        </w:rPr>
      </w:pPr>
    </w:p>
    <w:p w14:paraId="3682246A" w14:textId="77777777" w:rsidR="00AC157C" w:rsidRDefault="00AC157C" w:rsidP="00AC157C">
      <w:pPr>
        <w:spacing w:line="480" w:lineRule="auto"/>
        <w:ind w:firstLine="720"/>
        <w:rPr>
          <w:rFonts w:ascii="Times New Roman" w:hAnsi="Times New Roman" w:cs="Times New Roman"/>
          <w:sz w:val="24"/>
          <w:szCs w:val="24"/>
        </w:rPr>
      </w:pPr>
    </w:p>
    <w:p w14:paraId="58B20A07" w14:textId="2650BCCB" w:rsidR="00BD2284" w:rsidRDefault="00BD2284" w:rsidP="00BD228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Effects of misstatement of various</w:t>
      </w:r>
      <w:r w:rsidR="00CA7D09">
        <w:rPr>
          <w:rFonts w:ascii="Times New Roman" w:hAnsi="Times New Roman" w:cs="Times New Roman"/>
          <w:sz w:val="24"/>
          <w:szCs w:val="24"/>
        </w:rPr>
        <w:t xml:space="preserve"> financial</w:t>
      </w:r>
      <w:r>
        <w:rPr>
          <w:rFonts w:ascii="Times New Roman" w:hAnsi="Times New Roman" w:cs="Times New Roman"/>
          <w:sz w:val="24"/>
          <w:szCs w:val="24"/>
        </w:rPr>
        <w:t xml:space="preserve"> events</w:t>
      </w:r>
    </w:p>
    <w:p w14:paraId="3E997B31" w14:textId="2117CC43" w:rsidR="00AC157C" w:rsidRPr="00CE3E5D" w:rsidRDefault="00AC157C"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Event 1</w:t>
      </w:r>
    </w:p>
    <w:p w14:paraId="5657496D" w14:textId="77777777" w:rsidR="00065CB4" w:rsidRDefault="00247D10"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Macquarie has undertaken a new transaction in Spanish renewables’ sector with a € 38 million debt investment in a portfolio of solar farms. These portfolios are owned and managed by Q-energy that is a leading firm in management of renewable energy sector</w:t>
      </w:r>
      <w:r w:rsidR="00006727" w:rsidRPr="00AC157C">
        <w:rPr>
          <w:rFonts w:ascii="Times New Roman" w:hAnsi="Times New Roman" w:cs="Times New Roman"/>
          <w:sz w:val="24"/>
          <w:szCs w:val="24"/>
        </w:rPr>
        <w:t xml:space="preserve"> </w:t>
      </w:r>
      <w:r w:rsidRPr="00AC157C">
        <w:rPr>
          <w:rFonts w:ascii="Times New Roman" w:hAnsi="Times New Roman" w:cs="Times New Roman"/>
          <w:sz w:val="24"/>
          <w:szCs w:val="24"/>
        </w:rPr>
        <w:t>in Europe.</w:t>
      </w:r>
      <w:r w:rsidR="00006727" w:rsidRPr="00AC157C">
        <w:rPr>
          <w:rFonts w:ascii="Times New Roman" w:hAnsi="Times New Roman" w:cs="Times New Roman"/>
          <w:sz w:val="24"/>
          <w:szCs w:val="24"/>
        </w:rPr>
        <w:t xml:space="preserve"> The total capacity installed for this system is 13.6 MWp and is backed by 21-year amortising, senior secured bonds and an interest rate swap facility provided by </w:t>
      </w:r>
      <w:r w:rsidR="00E149D0" w:rsidRPr="00AC157C">
        <w:rPr>
          <w:rFonts w:ascii="Times New Roman" w:hAnsi="Times New Roman" w:cs="Times New Roman"/>
          <w:sz w:val="24"/>
          <w:szCs w:val="24"/>
        </w:rPr>
        <w:t>Goldman</w:t>
      </w:r>
      <w:r w:rsidR="00006727" w:rsidRPr="00AC157C">
        <w:rPr>
          <w:rFonts w:ascii="Times New Roman" w:hAnsi="Times New Roman" w:cs="Times New Roman"/>
          <w:sz w:val="24"/>
          <w:szCs w:val="24"/>
        </w:rPr>
        <w:t xml:space="preserve"> Sachs international.</w:t>
      </w:r>
      <w:r w:rsidR="005D0D88" w:rsidRPr="00AC157C">
        <w:rPr>
          <w:rFonts w:ascii="Times New Roman" w:hAnsi="Times New Roman" w:cs="Times New Roman"/>
          <w:sz w:val="24"/>
          <w:szCs w:val="24"/>
        </w:rPr>
        <w:t xml:space="preserve"> Concealing this transaction will affect the financial statements of the group. </w:t>
      </w:r>
    </w:p>
    <w:p w14:paraId="2903E86E" w14:textId="15F87F62" w:rsidR="00AC157C" w:rsidRPr="00CE3E5D" w:rsidRDefault="00AC157C"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Why should auditors consider it?</w:t>
      </w:r>
    </w:p>
    <w:p w14:paraId="7DD6CA92" w14:textId="0614BB47" w:rsidR="00065CB4" w:rsidRDefault="005D0D88"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 xml:space="preserve">This transaction is material in terms of its size and will affect all the financial statements made by it. </w:t>
      </w:r>
    </w:p>
    <w:p w14:paraId="793B87A6" w14:textId="7BCFDC38" w:rsidR="00AC157C" w:rsidRPr="00CE3E5D" w:rsidRDefault="00AC157C"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Accounting Standard</w:t>
      </w:r>
    </w:p>
    <w:p w14:paraId="35461DD9" w14:textId="3222A1E0" w:rsidR="00CD18FA" w:rsidRPr="00AC157C" w:rsidRDefault="005D0D88"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 xml:space="preserve">The transaction will be guided by the AASB 9 that </w:t>
      </w:r>
      <w:r w:rsidR="002E7660" w:rsidRPr="00AC157C">
        <w:rPr>
          <w:rFonts w:ascii="Times New Roman" w:hAnsi="Times New Roman" w:cs="Times New Roman"/>
          <w:sz w:val="24"/>
          <w:szCs w:val="24"/>
        </w:rPr>
        <w:t xml:space="preserve">covers the reporting of financial assets and financial liabilities. Being a debt investment, this transaction creates </w:t>
      </w:r>
      <w:r w:rsidR="003D031A" w:rsidRPr="00AC157C">
        <w:rPr>
          <w:rFonts w:ascii="Times New Roman" w:hAnsi="Times New Roman" w:cs="Times New Roman"/>
          <w:sz w:val="24"/>
          <w:szCs w:val="24"/>
        </w:rPr>
        <w:t>a financial liability in terms of debt financing.</w:t>
      </w:r>
      <w:r w:rsidR="00A20439" w:rsidRPr="00AC157C">
        <w:rPr>
          <w:rFonts w:ascii="Times New Roman" w:hAnsi="Times New Roman" w:cs="Times New Roman"/>
          <w:sz w:val="24"/>
          <w:szCs w:val="24"/>
        </w:rPr>
        <w:t xml:space="preserve"> An entity shall recognize a financial asset or financial liability in its statement of financial position when an entity becomes a party to the contractual provisions of this instrument. This aspect applies to the Macquarie group because it is a part of the settlement </w:t>
      </w:r>
      <w:r w:rsidR="00BF454B" w:rsidRPr="00AC157C">
        <w:rPr>
          <w:rFonts w:ascii="Times New Roman" w:hAnsi="Times New Roman" w:cs="Times New Roman"/>
          <w:sz w:val="24"/>
          <w:szCs w:val="24"/>
        </w:rPr>
        <w:t>that has taken place in this transaction.</w:t>
      </w:r>
      <w:r w:rsidR="001A2DA8" w:rsidRPr="00AC157C">
        <w:rPr>
          <w:rFonts w:ascii="Times New Roman" w:hAnsi="Times New Roman" w:cs="Times New Roman"/>
          <w:sz w:val="24"/>
          <w:szCs w:val="24"/>
        </w:rPr>
        <w:t xml:space="preserve"> AASB 10 will also be applicable to this scenario because the entity will consolidate information from all the groups</w:t>
      </w:r>
      <w:r w:rsidR="00237DBC" w:rsidRPr="00AC157C">
        <w:rPr>
          <w:rFonts w:ascii="Times New Roman" w:hAnsi="Times New Roman" w:cs="Times New Roman"/>
          <w:sz w:val="24"/>
          <w:szCs w:val="24"/>
        </w:rPr>
        <w:t xml:space="preserve"> or subsidiaries.</w:t>
      </w:r>
      <w:r w:rsidR="00255C99" w:rsidRPr="00AC157C">
        <w:rPr>
          <w:rFonts w:ascii="Times New Roman" w:hAnsi="Times New Roman" w:cs="Times New Roman"/>
          <w:sz w:val="24"/>
          <w:szCs w:val="24"/>
        </w:rPr>
        <w:t xml:space="preserve"> </w:t>
      </w:r>
      <w:r w:rsidR="00E1626D" w:rsidRPr="00AC157C">
        <w:rPr>
          <w:rFonts w:ascii="Times New Roman" w:hAnsi="Times New Roman" w:cs="Times New Roman"/>
          <w:sz w:val="24"/>
          <w:szCs w:val="24"/>
        </w:rPr>
        <w:t xml:space="preserve">This accounting standard will be applicable to </w:t>
      </w:r>
      <w:r w:rsidR="000D75DB" w:rsidRPr="00AC157C">
        <w:rPr>
          <w:rFonts w:ascii="Times New Roman" w:hAnsi="Times New Roman" w:cs="Times New Roman"/>
          <w:sz w:val="24"/>
          <w:szCs w:val="24"/>
        </w:rPr>
        <w:t>interests in subsidiaries, associates and joint ventures which are accounted for in accordance with AASB 10.</w:t>
      </w:r>
      <w:r w:rsidR="003A76AC" w:rsidRPr="00AC157C">
        <w:rPr>
          <w:rFonts w:ascii="Times New Roman" w:hAnsi="Times New Roman" w:cs="Times New Roman"/>
          <w:sz w:val="24"/>
          <w:szCs w:val="24"/>
        </w:rPr>
        <w:t xml:space="preserve"> Any derivatives </w:t>
      </w:r>
      <w:r w:rsidR="00284CDC" w:rsidRPr="00AC157C">
        <w:rPr>
          <w:rFonts w:ascii="Times New Roman" w:hAnsi="Times New Roman" w:cs="Times New Roman"/>
          <w:sz w:val="24"/>
          <w:szCs w:val="24"/>
        </w:rPr>
        <w:t xml:space="preserve">shall also be identified under this standard unless these derivatives </w:t>
      </w:r>
      <w:r w:rsidR="00FD5D80" w:rsidRPr="00AC157C">
        <w:rPr>
          <w:rFonts w:ascii="Times New Roman" w:hAnsi="Times New Roman" w:cs="Times New Roman"/>
          <w:sz w:val="24"/>
          <w:szCs w:val="24"/>
        </w:rPr>
        <w:t xml:space="preserve">are </w:t>
      </w:r>
      <w:r w:rsidR="00DC5A84" w:rsidRPr="00AC157C">
        <w:rPr>
          <w:rFonts w:ascii="Times New Roman" w:hAnsi="Times New Roman" w:cs="Times New Roman"/>
          <w:sz w:val="24"/>
          <w:szCs w:val="24"/>
        </w:rPr>
        <w:t>specified as equity instruments under AASB 132.</w:t>
      </w:r>
      <w:r w:rsidR="00CC4870" w:rsidRPr="00AC157C">
        <w:rPr>
          <w:rFonts w:ascii="Times New Roman" w:hAnsi="Times New Roman" w:cs="Times New Roman"/>
          <w:sz w:val="24"/>
          <w:szCs w:val="24"/>
        </w:rPr>
        <w:t xml:space="preserve"> </w:t>
      </w:r>
      <w:r w:rsidR="00F12D00" w:rsidRPr="00AC157C">
        <w:rPr>
          <w:rFonts w:ascii="Times New Roman" w:hAnsi="Times New Roman" w:cs="Times New Roman"/>
          <w:sz w:val="24"/>
          <w:szCs w:val="24"/>
        </w:rPr>
        <w:t xml:space="preserve">There will </w:t>
      </w:r>
      <w:r w:rsidR="00F12D00" w:rsidRPr="00AC157C">
        <w:rPr>
          <w:rFonts w:ascii="Times New Roman" w:hAnsi="Times New Roman" w:cs="Times New Roman"/>
          <w:sz w:val="24"/>
          <w:szCs w:val="24"/>
        </w:rPr>
        <w:lastRenderedPageBreak/>
        <w:t xml:space="preserve">be certain concerns of companies while </w:t>
      </w:r>
      <w:r w:rsidR="00523D28" w:rsidRPr="00AC157C">
        <w:rPr>
          <w:rFonts w:ascii="Times New Roman" w:hAnsi="Times New Roman" w:cs="Times New Roman"/>
          <w:sz w:val="24"/>
          <w:szCs w:val="24"/>
        </w:rPr>
        <w:t>implementing AASB 9. Since Macquarie group includes a bank as well, it will have t</w:t>
      </w:r>
      <w:r w:rsidR="00771718" w:rsidRPr="00AC157C">
        <w:rPr>
          <w:rFonts w:ascii="Times New Roman" w:hAnsi="Times New Roman" w:cs="Times New Roman"/>
          <w:sz w:val="24"/>
          <w:szCs w:val="24"/>
        </w:rPr>
        <w:t xml:space="preserve">o shift its product lines </w:t>
      </w:r>
      <w:r w:rsidR="0038788B" w:rsidRPr="00AC157C">
        <w:rPr>
          <w:rFonts w:ascii="Times New Roman" w:hAnsi="Times New Roman" w:cs="Times New Roman"/>
          <w:sz w:val="24"/>
          <w:szCs w:val="24"/>
        </w:rPr>
        <w:t>depending on the duration, rating and guarantee, some of its products may lose their profitability.</w:t>
      </w:r>
      <w:r w:rsidR="00371EE2" w:rsidRPr="00AC157C">
        <w:rPr>
          <w:rFonts w:ascii="Times New Roman" w:hAnsi="Times New Roman" w:cs="Times New Roman"/>
          <w:sz w:val="24"/>
          <w:szCs w:val="24"/>
        </w:rPr>
        <w:t xml:space="preserve"> Since the event is concerned with the group as a whole, there will be different concerns related to </w:t>
      </w:r>
      <w:r w:rsidR="00406DBA" w:rsidRPr="00AC157C">
        <w:rPr>
          <w:rFonts w:ascii="Times New Roman" w:hAnsi="Times New Roman" w:cs="Times New Roman"/>
          <w:sz w:val="24"/>
          <w:szCs w:val="24"/>
        </w:rPr>
        <w:t>application of this standard.</w:t>
      </w:r>
      <w:r w:rsidR="001A2487" w:rsidRPr="00AC157C">
        <w:rPr>
          <w:rFonts w:ascii="Times New Roman" w:hAnsi="Times New Roman" w:cs="Times New Roman"/>
          <w:sz w:val="24"/>
          <w:szCs w:val="24"/>
        </w:rPr>
        <w:t xml:space="preserve"> </w:t>
      </w:r>
      <w:r w:rsidR="00E007DD" w:rsidRPr="00AC157C">
        <w:rPr>
          <w:rFonts w:ascii="Times New Roman" w:hAnsi="Times New Roman" w:cs="Times New Roman"/>
          <w:sz w:val="24"/>
          <w:szCs w:val="24"/>
        </w:rPr>
        <w:t xml:space="preserve">Some major concerns include increased costs and complicated calculations that have to be done to find out </w:t>
      </w:r>
      <w:r w:rsidR="0063305D" w:rsidRPr="00AC157C">
        <w:rPr>
          <w:rFonts w:ascii="Times New Roman" w:hAnsi="Times New Roman" w:cs="Times New Roman"/>
          <w:sz w:val="24"/>
          <w:szCs w:val="24"/>
        </w:rPr>
        <w:t>values of assets and liabilities. A large number of organizations are finding it tough to develop systems that are necessary for implementing this standard</w:t>
      </w:r>
      <w:sdt>
        <w:sdtPr>
          <w:rPr>
            <w:rFonts w:ascii="Times New Roman" w:hAnsi="Times New Roman" w:cs="Times New Roman"/>
            <w:sz w:val="24"/>
            <w:szCs w:val="24"/>
          </w:rPr>
          <w:id w:val="-1426644753"/>
          <w:citation/>
        </w:sdtPr>
        <w:sdtEndPr/>
        <w:sdtContent>
          <w:r w:rsidR="004309DB">
            <w:rPr>
              <w:rFonts w:ascii="Times New Roman" w:hAnsi="Times New Roman" w:cs="Times New Roman"/>
              <w:sz w:val="24"/>
              <w:szCs w:val="24"/>
            </w:rPr>
            <w:fldChar w:fldCharType="begin"/>
          </w:r>
          <w:r w:rsidR="004309DB">
            <w:rPr>
              <w:rFonts w:ascii="Times New Roman" w:hAnsi="Times New Roman" w:cs="Times New Roman"/>
              <w:sz w:val="24"/>
              <w:szCs w:val="24"/>
            </w:rPr>
            <w:instrText xml:space="preserve"> CITATION aas10 \l 1033 </w:instrText>
          </w:r>
          <w:r w:rsidR="004309DB">
            <w:rPr>
              <w:rFonts w:ascii="Times New Roman" w:hAnsi="Times New Roman" w:cs="Times New Roman"/>
              <w:sz w:val="24"/>
              <w:szCs w:val="24"/>
            </w:rPr>
            <w:fldChar w:fldCharType="separate"/>
          </w:r>
          <w:r w:rsidR="004309DB">
            <w:rPr>
              <w:rFonts w:ascii="Times New Roman" w:hAnsi="Times New Roman" w:cs="Times New Roman"/>
              <w:noProof/>
              <w:sz w:val="24"/>
              <w:szCs w:val="24"/>
            </w:rPr>
            <w:t xml:space="preserve"> </w:t>
          </w:r>
          <w:r w:rsidR="004309DB" w:rsidRPr="004309DB">
            <w:rPr>
              <w:rFonts w:ascii="Times New Roman" w:hAnsi="Times New Roman" w:cs="Times New Roman"/>
              <w:noProof/>
              <w:sz w:val="24"/>
              <w:szCs w:val="24"/>
            </w:rPr>
            <w:t>(aasb.gov.au, 2010)</w:t>
          </w:r>
          <w:r w:rsidR="004309DB">
            <w:rPr>
              <w:rFonts w:ascii="Times New Roman" w:hAnsi="Times New Roman" w:cs="Times New Roman"/>
              <w:sz w:val="24"/>
              <w:szCs w:val="24"/>
            </w:rPr>
            <w:fldChar w:fldCharType="end"/>
          </w:r>
        </w:sdtContent>
      </w:sdt>
      <w:r w:rsidR="0063305D" w:rsidRPr="00AC157C">
        <w:rPr>
          <w:rFonts w:ascii="Times New Roman" w:hAnsi="Times New Roman" w:cs="Times New Roman"/>
          <w:sz w:val="24"/>
          <w:szCs w:val="24"/>
        </w:rPr>
        <w:t>.</w:t>
      </w:r>
      <w:r w:rsidR="003F1C31" w:rsidRPr="00AC157C">
        <w:rPr>
          <w:rFonts w:ascii="Times New Roman" w:hAnsi="Times New Roman" w:cs="Times New Roman"/>
          <w:sz w:val="24"/>
          <w:szCs w:val="24"/>
        </w:rPr>
        <w:t xml:space="preserve"> </w:t>
      </w:r>
    </w:p>
    <w:p w14:paraId="5C8795AF" w14:textId="3212AF5B" w:rsidR="00252E1A" w:rsidRPr="00CE3E5D" w:rsidRDefault="00065CB4"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Recognition of liability</w:t>
      </w:r>
    </w:p>
    <w:p w14:paraId="385F10C2" w14:textId="75E0D09D" w:rsidR="00065CB4" w:rsidRPr="00AC157C" w:rsidRDefault="00065CB4"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t>All financial liabilities are measured at an amortised cost except for derivatives. An entity will not be able to change the basis of measurement once selected</w:t>
      </w:r>
      <w:sdt>
        <w:sdtPr>
          <w:rPr>
            <w:rFonts w:ascii="Times New Roman" w:hAnsi="Times New Roman" w:cs="Times New Roman"/>
            <w:sz w:val="24"/>
            <w:szCs w:val="24"/>
          </w:rPr>
          <w:id w:val="-621382273"/>
          <w:citation/>
        </w:sdtPr>
        <w:sdtEndPr/>
        <w:sdtContent>
          <w:r w:rsidR="00AD6E23" w:rsidRPr="00AC157C">
            <w:rPr>
              <w:rFonts w:ascii="Times New Roman" w:hAnsi="Times New Roman" w:cs="Times New Roman"/>
              <w:sz w:val="24"/>
              <w:szCs w:val="24"/>
            </w:rPr>
            <w:fldChar w:fldCharType="begin"/>
          </w:r>
          <w:r w:rsidR="00AD6E23" w:rsidRPr="00AC157C">
            <w:rPr>
              <w:rFonts w:ascii="Times New Roman" w:hAnsi="Times New Roman" w:cs="Times New Roman"/>
              <w:sz w:val="24"/>
              <w:szCs w:val="24"/>
            </w:rPr>
            <w:instrText xml:space="preserve"> CITATION ifr19 \l 1033 </w:instrText>
          </w:r>
          <w:r w:rsidR="00AD6E23" w:rsidRPr="00AC157C">
            <w:rPr>
              <w:rFonts w:ascii="Times New Roman" w:hAnsi="Times New Roman" w:cs="Times New Roman"/>
              <w:sz w:val="24"/>
              <w:szCs w:val="24"/>
            </w:rPr>
            <w:fldChar w:fldCharType="separate"/>
          </w:r>
          <w:r w:rsidR="00AD6E23" w:rsidRPr="00AC157C">
            <w:rPr>
              <w:rFonts w:ascii="Times New Roman" w:hAnsi="Times New Roman" w:cs="Times New Roman"/>
              <w:noProof/>
              <w:sz w:val="24"/>
              <w:szCs w:val="24"/>
            </w:rPr>
            <w:t xml:space="preserve"> (ifrs.org, 2019)</w:t>
          </w:r>
          <w:r w:rsidR="00AD6E23" w:rsidRPr="00AC157C">
            <w:rPr>
              <w:rFonts w:ascii="Times New Roman" w:hAnsi="Times New Roman" w:cs="Times New Roman"/>
              <w:sz w:val="24"/>
              <w:szCs w:val="24"/>
            </w:rPr>
            <w:fldChar w:fldCharType="end"/>
          </w:r>
        </w:sdtContent>
      </w:sdt>
      <w:r w:rsidRPr="00AC157C">
        <w:rPr>
          <w:rFonts w:ascii="Times New Roman" w:hAnsi="Times New Roman" w:cs="Times New Roman"/>
          <w:sz w:val="24"/>
          <w:szCs w:val="24"/>
        </w:rPr>
        <w:t>.</w:t>
      </w:r>
    </w:p>
    <w:p w14:paraId="50BE66F4" w14:textId="33808EF6" w:rsidR="00C37EE8" w:rsidRPr="00CE3E5D" w:rsidRDefault="00C37EE8"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Presentation of Consolidated Statement</w:t>
      </w:r>
    </w:p>
    <w:p w14:paraId="65F9318E" w14:textId="6F35C8CF" w:rsidR="00C37EE8" w:rsidRDefault="00C37EE8"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t>AASB 10 states that a parent company does not need to file consolidated financial statements if all its owners do not have any iss</w:t>
      </w:r>
      <w:r w:rsidR="001D3EB3" w:rsidRPr="00AC157C">
        <w:rPr>
          <w:rFonts w:ascii="Times New Roman" w:hAnsi="Times New Roman" w:cs="Times New Roman"/>
          <w:sz w:val="24"/>
          <w:szCs w:val="24"/>
        </w:rPr>
        <w:t xml:space="preserve">ue if it does not represent consolidated financial </w:t>
      </w:r>
      <w:r w:rsidR="00AD270A" w:rsidRPr="00AC157C">
        <w:rPr>
          <w:rFonts w:ascii="Times New Roman" w:hAnsi="Times New Roman" w:cs="Times New Roman"/>
          <w:sz w:val="24"/>
          <w:szCs w:val="24"/>
        </w:rPr>
        <w:t xml:space="preserve">statements. Debt or equity instruments are not </w:t>
      </w:r>
      <w:r w:rsidR="00E812DB" w:rsidRPr="00AC157C">
        <w:rPr>
          <w:rFonts w:ascii="Times New Roman" w:hAnsi="Times New Roman" w:cs="Times New Roman"/>
          <w:sz w:val="24"/>
          <w:szCs w:val="24"/>
        </w:rPr>
        <w:t xml:space="preserve">traded in </w:t>
      </w:r>
      <w:r w:rsidR="005D5BEA" w:rsidRPr="00AC157C">
        <w:rPr>
          <w:rFonts w:ascii="Times New Roman" w:hAnsi="Times New Roman" w:cs="Times New Roman"/>
          <w:sz w:val="24"/>
          <w:szCs w:val="24"/>
        </w:rPr>
        <w:t xml:space="preserve">any stock exchange. Its financial statements are not filed with Securities and Exchange Commission. Any of its subsidiaries produces </w:t>
      </w:r>
      <w:r w:rsidR="00B60B57" w:rsidRPr="00AC157C">
        <w:rPr>
          <w:rFonts w:ascii="Times New Roman" w:hAnsi="Times New Roman" w:cs="Times New Roman"/>
          <w:sz w:val="24"/>
          <w:szCs w:val="24"/>
        </w:rPr>
        <w:t xml:space="preserve">financial statements that are available for public use and comply with IFRSs. </w:t>
      </w:r>
      <w:r w:rsidR="005E476F" w:rsidRPr="00AC157C">
        <w:rPr>
          <w:rFonts w:ascii="Times New Roman" w:hAnsi="Times New Roman" w:cs="Times New Roman"/>
          <w:sz w:val="24"/>
          <w:szCs w:val="24"/>
        </w:rPr>
        <w:t>Since Macquarie does not fulfill these conditions, it has to make and publish consolidated financial statements</w:t>
      </w:r>
      <w:sdt>
        <w:sdtPr>
          <w:rPr>
            <w:rFonts w:ascii="Times New Roman" w:hAnsi="Times New Roman" w:cs="Times New Roman"/>
            <w:sz w:val="24"/>
            <w:szCs w:val="24"/>
          </w:rPr>
          <w:id w:val="-1511672042"/>
          <w:citation/>
        </w:sdtPr>
        <w:sdtEndPr/>
        <w:sdtContent>
          <w:r w:rsidR="004309DB">
            <w:rPr>
              <w:rFonts w:ascii="Times New Roman" w:hAnsi="Times New Roman" w:cs="Times New Roman"/>
              <w:sz w:val="24"/>
              <w:szCs w:val="24"/>
            </w:rPr>
            <w:fldChar w:fldCharType="begin"/>
          </w:r>
          <w:r w:rsidR="004309DB">
            <w:rPr>
              <w:rFonts w:ascii="Times New Roman" w:hAnsi="Times New Roman" w:cs="Times New Roman"/>
              <w:sz w:val="24"/>
              <w:szCs w:val="24"/>
            </w:rPr>
            <w:instrText xml:space="preserve"> CITATION aas16 \l 1033 </w:instrText>
          </w:r>
          <w:r w:rsidR="004309DB">
            <w:rPr>
              <w:rFonts w:ascii="Times New Roman" w:hAnsi="Times New Roman" w:cs="Times New Roman"/>
              <w:sz w:val="24"/>
              <w:szCs w:val="24"/>
            </w:rPr>
            <w:fldChar w:fldCharType="separate"/>
          </w:r>
          <w:r w:rsidR="004309DB">
            <w:rPr>
              <w:rFonts w:ascii="Times New Roman" w:hAnsi="Times New Roman" w:cs="Times New Roman"/>
              <w:noProof/>
              <w:sz w:val="24"/>
              <w:szCs w:val="24"/>
            </w:rPr>
            <w:t xml:space="preserve"> </w:t>
          </w:r>
          <w:r w:rsidR="004309DB" w:rsidRPr="004309DB">
            <w:rPr>
              <w:rFonts w:ascii="Times New Roman" w:hAnsi="Times New Roman" w:cs="Times New Roman"/>
              <w:noProof/>
              <w:sz w:val="24"/>
              <w:szCs w:val="24"/>
            </w:rPr>
            <w:t>(aasb.gov.au, 2016)</w:t>
          </w:r>
          <w:r w:rsidR="004309DB">
            <w:rPr>
              <w:rFonts w:ascii="Times New Roman" w:hAnsi="Times New Roman" w:cs="Times New Roman"/>
              <w:sz w:val="24"/>
              <w:szCs w:val="24"/>
            </w:rPr>
            <w:fldChar w:fldCharType="end"/>
          </w:r>
        </w:sdtContent>
      </w:sdt>
      <w:r w:rsidR="005E476F" w:rsidRPr="00AC157C">
        <w:rPr>
          <w:rFonts w:ascii="Times New Roman" w:hAnsi="Times New Roman" w:cs="Times New Roman"/>
          <w:sz w:val="24"/>
          <w:szCs w:val="24"/>
        </w:rPr>
        <w:t>.</w:t>
      </w:r>
    </w:p>
    <w:p w14:paraId="08E194C7" w14:textId="3B95FB64" w:rsidR="00D9677E" w:rsidRPr="00CE3E5D" w:rsidRDefault="00D9677E"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Effects of misstatement</w:t>
      </w:r>
    </w:p>
    <w:p w14:paraId="52122D38" w14:textId="3AC2CC33" w:rsidR="00277D51" w:rsidRDefault="000D12A6"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t>Failure to record</w:t>
      </w:r>
      <w:r w:rsidR="00277D51" w:rsidRPr="00AC157C">
        <w:rPr>
          <w:rFonts w:ascii="Times New Roman" w:hAnsi="Times New Roman" w:cs="Times New Roman"/>
          <w:sz w:val="24"/>
          <w:szCs w:val="24"/>
        </w:rPr>
        <w:t xml:space="preserve"> this transaction in the financial statements will affect both assets and liabilities of Macquarie group. Both these figures will be understated if this event is not disclosed</w:t>
      </w:r>
      <w:sdt>
        <w:sdtPr>
          <w:rPr>
            <w:rFonts w:ascii="Times New Roman" w:hAnsi="Times New Roman" w:cs="Times New Roman"/>
            <w:sz w:val="24"/>
            <w:szCs w:val="24"/>
          </w:rPr>
          <w:id w:val="1667667861"/>
          <w:citation/>
        </w:sdtPr>
        <w:sdtEndPr/>
        <w:sdtContent>
          <w:r w:rsidR="00A83CD4">
            <w:rPr>
              <w:rFonts w:ascii="Times New Roman" w:hAnsi="Times New Roman" w:cs="Times New Roman"/>
              <w:sz w:val="24"/>
              <w:szCs w:val="24"/>
            </w:rPr>
            <w:fldChar w:fldCharType="begin"/>
          </w:r>
          <w:r w:rsidR="00A83CD4">
            <w:rPr>
              <w:rFonts w:ascii="Times New Roman" w:hAnsi="Times New Roman" w:cs="Times New Roman"/>
              <w:sz w:val="24"/>
              <w:szCs w:val="24"/>
            </w:rPr>
            <w:instrText xml:space="preserve"> CITATION Ron96 \l 1033 </w:instrText>
          </w:r>
          <w:r w:rsidR="00A83CD4">
            <w:rPr>
              <w:rFonts w:ascii="Times New Roman" w:hAnsi="Times New Roman" w:cs="Times New Roman"/>
              <w:sz w:val="24"/>
              <w:szCs w:val="24"/>
            </w:rPr>
            <w:fldChar w:fldCharType="separate"/>
          </w:r>
          <w:r w:rsidR="00A83CD4">
            <w:rPr>
              <w:rFonts w:ascii="Times New Roman" w:hAnsi="Times New Roman" w:cs="Times New Roman"/>
              <w:noProof/>
              <w:sz w:val="24"/>
              <w:szCs w:val="24"/>
            </w:rPr>
            <w:t xml:space="preserve"> </w:t>
          </w:r>
          <w:r w:rsidR="00A83CD4" w:rsidRPr="00A83CD4">
            <w:rPr>
              <w:rFonts w:ascii="Times New Roman" w:hAnsi="Times New Roman" w:cs="Times New Roman"/>
              <w:noProof/>
              <w:sz w:val="24"/>
              <w:szCs w:val="24"/>
            </w:rPr>
            <w:t>(Day &amp; Psaros, 1996)</w:t>
          </w:r>
          <w:r w:rsidR="00A83CD4">
            <w:rPr>
              <w:rFonts w:ascii="Times New Roman" w:hAnsi="Times New Roman" w:cs="Times New Roman"/>
              <w:sz w:val="24"/>
              <w:szCs w:val="24"/>
            </w:rPr>
            <w:fldChar w:fldCharType="end"/>
          </w:r>
        </w:sdtContent>
      </w:sdt>
      <w:r w:rsidR="00277D51" w:rsidRPr="00AC157C">
        <w:rPr>
          <w:rFonts w:ascii="Times New Roman" w:hAnsi="Times New Roman" w:cs="Times New Roman"/>
          <w:sz w:val="24"/>
          <w:szCs w:val="24"/>
        </w:rPr>
        <w:t>.</w:t>
      </w:r>
    </w:p>
    <w:p w14:paraId="03D9F9C8" w14:textId="5C5027F3" w:rsidR="00D9677E" w:rsidRPr="00CE3E5D" w:rsidRDefault="00D9677E"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lastRenderedPageBreak/>
        <w:t>Balance-related audit principle</w:t>
      </w:r>
    </w:p>
    <w:p w14:paraId="2D6AEBBC" w14:textId="67807F8C" w:rsidR="007938E3" w:rsidRPr="00AC157C" w:rsidRDefault="007938E3"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r>
      <w:r w:rsidR="002625D3" w:rsidRPr="00AC157C">
        <w:rPr>
          <w:rFonts w:ascii="Times New Roman" w:hAnsi="Times New Roman" w:cs="Times New Roman"/>
          <w:sz w:val="24"/>
          <w:szCs w:val="24"/>
        </w:rPr>
        <w:t xml:space="preserve">Auditors will apply accuracy as a balance related principle in this </w:t>
      </w:r>
      <w:r w:rsidR="0077596A" w:rsidRPr="00AC157C">
        <w:rPr>
          <w:rFonts w:ascii="Times New Roman" w:hAnsi="Times New Roman" w:cs="Times New Roman"/>
          <w:sz w:val="24"/>
          <w:szCs w:val="24"/>
        </w:rPr>
        <w:t xml:space="preserve">case to see if the value of </w:t>
      </w:r>
      <w:r w:rsidR="00D61A9B" w:rsidRPr="00AC157C">
        <w:rPr>
          <w:rFonts w:ascii="Times New Roman" w:hAnsi="Times New Roman" w:cs="Times New Roman"/>
          <w:sz w:val="24"/>
          <w:szCs w:val="24"/>
        </w:rPr>
        <w:t xml:space="preserve">assets and liabilities </w:t>
      </w:r>
      <w:r w:rsidR="00BE47CA" w:rsidRPr="00AC157C">
        <w:rPr>
          <w:rFonts w:ascii="Times New Roman" w:hAnsi="Times New Roman" w:cs="Times New Roman"/>
          <w:sz w:val="24"/>
          <w:szCs w:val="24"/>
        </w:rPr>
        <w:t>from acquired firm have been accurately stated or not</w:t>
      </w:r>
      <w:sdt>
        <w:sdtPr>
          <w:rPr>
            <w:rFonts w:ascii="Times New Roman" w:hAnsi="Times New Roman" w:cs="Times New Roman"/>
            <w:sz w:val="24"/>
            <w:szCs w:val="24"/>
          </w:rPr>
          <w:id w:val="5874019"/>
          <w:citation/>
        </w:sdtPr>
        <w:sdtEndPr/>
        <w:sdtContent>
          <w:r w:rsidR="00E52CE8">
            <w:rPr>
              <w:rFonts w:ascii="Times New Roman" w:hAnsi="Times New Roman" w:cs="Times New Roman"/>
              <w:sz w:val="24"/>
              <w:szCs w:val="24"/>
            </w:rPr>
            <w:fldChar w:fldCharType="begin"/>
          </w:r>
          <w:r w:rsidR="00E52CE8">
            <w:rPr>
              <w:rFonts w:ascii="Times New Roman" w:hAnsi="Times New Roman" w:cs="Times New Roman"/>
              <w:sz w:val="24"/>
              <w:szCs w:val="24"/>
            </w:rPr>
            <w:instrText xml:space="preserve"> CITATION fac19 \l 1033 </w:instrText>
          </w:r>
          <w:r w:rsidR="00E52CE8">
            <w:rPr>
              <w:rFonts w:ascii="Times New Roman" w:hAnsi="Times New Roman" w:cs="Times New Roman"/>
              <w:sz w:val="24"/>
              <w:szCs w:val="24"/>
            </w:rPr>
            <w:fldChar w:fldCharType="separate"/>
          </w:r>
          <w:r w:rsidR="00E52CE8">
            <w:rPr>
              <w:rFonts w:ascii="Times New Roman" w:hAnsi="Times New Roman" w:cs="Times New Roman"/>
              <w:noProof/>
              <w:sz w:val="24"/>
              <w:szCs w:val="24"/>
            </w:rPr>
            <w:t xml:space="preserve"> </w:t>
          </w:r>
          <w:r w:rsidR="00E52CE8" w:rsidRPr="00E52CE8">
            <w:rPr>
              <w:rFonts w:ascii="Times New Roman" w:hAnsi="Times New Roman" w:cs="Times New Roman"/>
              <w:noProof/>
              <w:sz w:val="24"/>
              <w:szCs w:val="24"/>
            </w:rPr>
            <w:t>(facweb, n.d.)</w:t>
          </w:r>
          <w:r w:rsidR="00E52CE8">
            <w:rPr>
              <w:rFonts w:ascii="Times New Roman" w:hAnsi="Times New Roman" w:cs="Times New Roman"/>
              <w:sz w:val="24"/>
              <w:szCs w:val="24"/>
            </w:rPr>
            <w:fldChar w:fldCharType="end"/>
          </w:r>
        </w:sdtContent>
      </w:sdt>
      <w:r w:rsidR="00BE47CA" w:rsidRPr="00AC157C">
        <w:rPr>
          <w:rFonts w:ascii="Times New Roman" w:hAnsi="Times New Roman" w:cs="Times New Roman"/>
          <w:sz w:val="24"/>
          <w:szCs w:val="24"/>
        </w:rPr>
        <w:t>.</w:t>
      </w:r>
    </w:p>
    <w:p w14:paraId="3CEE1447" w14:textId="0F5561F8" w:rsidR="00065CB4" w:rsidRPr="00CE3E5D" w:rsidRDefault="00C67B7F"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Event 2</w:t>
      </w:r>
    </w:p>
    <w:p w14:paraId="2736A97E" w14:textId="77777777" w:rsidR="00C67B7F" w:rsidRDefault="00F306A8"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 xml:space="preserve">An agreement has taken place between Green investment </w:t>
      </w:r>
      <w:r w:rsidR="00255C99" w:rsidRPr="00AC157C">
        <w:rPr>
          <w:rFonts w:ascii="Times New Roman" w:hAnsi="Times New Roman" w:cs="Times New Roman"/>
          <w:sz w:val="24"/>
          <w:szCs w:val="24"/>
        </w:rPr>
        <w:t>groups</w:t>
      </w:r>
      <w:r w:rsidRPr="00AC157C">
        <w:rPr>
          <w:rFonts w:ascii="Times New Roman" w:hAnsi="Times New Roman" w:cs="Times New Roman"/>
          <w:sz w:val="24"/>
          <w:szCs w:val="24"/>
        </w:rPr>
        <w:t xml:space="preserve"> to purchase 40% stake in Iberdrola’s Scottish </w:t>
      </w:r>
      <w:r w:rsidR="00BE79BC" w:rsidRPr="00AC157C">
        <w:rPr>
          <w:rFonts w:ascii="Times New Roman" w:hAnsi="Times New Roman" w:cs="Times New Roman"/>
          <w:sz w:val="24"/>
          <w:szCs w:val="24"/>
        </w:rPr>
        <w:t>power Renewables</w:t>
      </w:r>
      <w:r w:rsidR="004B7696" w:rsidRPr="00AC157C">
        <w:rPr>
          <w:rFonts w:ascii="Times New Roman" w:hAnsi="Times New Roman" w:cs="Times New Roman"/>
          <w:sz w:val="24"/>
          <w:szCs w:val="24"/>
        </w:rPr>
        <w:t xml:space="preserve">’ 714 MW farm. This partnership will be first between GIG and </w:t>
      </w:r>
      <w:r w:rsidR="00C67B7F" w:rsidRPr="00AC157C">
        <w:rPr>
          <w:rFonts w:ascii="Times New Roman" w:hAnsi="Times New Roman" w:cs="Times New Roman"/>
          <w:sz w:val="24"/>
          <w:szCs w:val="24"/>
        </w:rPr>
        <w:t>Partner Company</w:t>
      </w:r>
      <w:r w:rsidR="004B7696" w:rsidRPr="00AC157C">
        <w:rPr>
          <w:rFonts w:ascii="Times New Roman" w:hAnsi="Times New Roman" w:cs="Times New Roman"/>
          <w:sz w:val="24"/>
          <w:szCs w:val="24"/>
        </w:rPr>
        <w:t xml:space="preserve"> in the UK.</w:t>
      </w:r>
      <w:r w:rsidR="00BE79BC" w:rsidRPr="00AC157C">
        <w:rPr>
          <w:rFonts w:ascii="Times New Roman" w:hAnsi="Times New Roman" w:cs="Times New Roman"/>
          <w:sz w:val="24"/>
          <w:szCs w:val="24"/>
        </w:rPr>
        <w:t xml:space="preserve"> Macquarie and GIG have now owned 50% of offshore wind capacity in the UK.</w:t>
      </w:r>
      <w:r w:rsidR="00743322" w:rsidRPr="00AC157C">
        <w:rPr>
          <w:rFonts w:ascii="Times New Roman" w:hAnsi="Times New Roman" w:cs="Times New Roman"/>
          <w:sz w:val="24"/>
          <w:szCs w:val="24"/>
        </w:rPr>
        <w:t xml:space="preserve"> This transaction will ensure that GIG’s commitment prevails with </w:t>
      </w:r>
      <w:r w:rsidR="0018269A" w:rsidRPr="00AC157C">
        <w:rPr>
          <w:rFonts w:ascii="Times New Roman" w:hAnsi="Times New Roman" w:cs="Times New Roman"/>
          <w:sz w:val="24"/>
          <w:szCs w:val="24"/>
        </w:rPr>
        <w:t>wind-based</w:t>
      </w:r>
      <w:r w:rsidR="00743322" w:rsidRPr="00AC157C">
        <w:rPr>
          <w:rFonts w:ascii="Times New Roman" w:hAnsi="Times New Roman" w:cs="Times New Roman"/>
          <w:sz w:val="24"/>
          <w:szCs w:val="24"/>
        </w:rPr>
        <w:t xml:space="preserve"> energy resources.</w:t>
      </w:r>
      <w:r w:rsidR="001375EE" w:rsidRPr="00AC157C">
        <w:rPr>
          <w:rFonts w:ascii="Times New Roman" w:hAnsi="Times New Roman" w:cs="Times New Roman"/>
          <w:sz w:val="24"/>
          <w:szCs w:val="24"/>
        </w:rPr>
        <w:t xml:space="preserve"> AASB 3 will be applicable in this situation </w:t>
      </w:r>
      <w:r w:rsidR="007B3864" w:rsidRPr="00AC157C">
        <w:rPr>
          <w:rFonts w:ascii="Times New Roman" w:hAnsi="Times New Roman" w:cs="Times New Roman"/>
          <w:sz w:val="24"/>
          <w:szCs w:val="24"/>
        </w:rPr>
        <w:t>that is related to business combinations.</w:t>
      </w:r>
      <w:r w:rsidR="003C55F2" w:rsidRPr="00AC157C">
        <w:rPr>
          <w:rFonts w:ascii="Times New Roman" w:hAnsi="Times New Roman" w:cs="Times New Roman"/>
          <w:sz w:val="24"/>
          <w:szCs w:val="24"/>
        </w:rPr>
        <w:t xml:space="preserve"> The date of agreement is 12</w:t>
      </w:r>
      <w:r w:rsidR="003C55F2" w:rsidRPr="00AC157C">
        <w:rPr>
          <w:rFonts w:ascii="Times New Roman" w:hAnsi="Times New Roman" w:cs="Times New Roman"/>
          <w:sz w:val="24"/>
          <w:szCs w:val="24"/>
          <w:vertAlign w:val="superscript"/>
        </w:rPr>
        <w:t>th</w:t>
      </w:r>
      <w:r w:rsidR="003C55F2" w:rsidRPr="00AC157C">
        <w:rPr>
          <w:rFonts w:ascii="Times New Roman" w:hAnsi="Times New Roman" w:cs="Times New Roman"/>
          <w:sz w:val="24"/>
          <w:szCs w:val="24"/>
        </w:rPr>
        <w:t xml:space="preserve"> August 2019</w:t>
      </w:r>
      <w:r w:rsidR="00DF3A6C" w:rsidRPr="00AC157C">
        <w:rPr>
          <w:rFonts w:ascii="Times New Roman" w:hAnsi="Times New Roman" w:cs="Times New Roman"/>
          <w:sz w:val="24"/>
          <w:szCs w:val="24"/>
        </w:rPr>
        <w:t>.</w:t>
      </w:r>
      <w:r w:rsidR="00895335" w:rsidRPr="00AC157C">
        <w:rPr>
          <w:rFonts w:ascii="Times New Roman" w:hAnsi="Times New Roman" w:cs="Times New Roman"/>
          <w:sz w:val="24"/>
          <w:szCs w:val="24"/>
        </w:rPr>
        <w:t xml:space="preserve"> The assets acquired and liabilities assumed in th</w:t>
      </w:r>
      <w:r w:rsidR="00BE0374" w:rsidRPr="00AC157C">
        <w:rPr>
          <w:rFonts w:ascii="Times New Roman" w:hAnsi="Times New Roman" w:cs="Times New Roman"/>
          <w:sz w:val="24"/>
          <w:szCs w:val="24"/>
        </w:rPr>
        <w:t>is case make up business for company because it has been involved in renewable energy sector.</w:t>
      </w:r>
      <w:r w:rsidR="00A21199" w:rsidRPr="00AC157C">
        <w:rPr>
          <w:rFonts w:ascii="Times New Roman" w:hAnsi="Times New Roman" w:cs="Times New Roman"/>
          <w:sz w:val="24"/>
          <w:szCs w:val="24"/>
        </w:rPr>
        <w:t xml:space="preserve"> GIG will have to </w:t>
      </w:r>
      <w:r w:rsidR="003B0112" w:rsidRPr="00AC157C">
        <w:rPr>
          <w:rFonts w:ascii="Times New Roman" w:hAnsi="Times New Roman" w:cs="Times New Roman"/>
          <w:sz w:val="24"/>
          <w:szCs w:val="24"/>
        </w:rPr>
        <w:t>classify and designate assets and liabilities assumed as necessary to apply to other accounting standards of Australia.</w:t>
      </w:r>
      <w:r w:rsidR="009F175A" w:rsidRPr="00AC157C">
        <w:rPr>
          <w:rFonts w:ascii="Times New Roman" w:hAnsi="Times New Roman" w:cs="Times New Roman"/>
          <w:sz w:val="24"/>
          <w:szCs w:val="24"/>
        </w:rPr>
        <w:t xml:space="preserve"> These assessments will be done on the basis of terms of contract, economic conditions, operating and accounting policies and any other relevant condition that may affect this acquisition.</w:t>
      </w:r>
      <w:r w:rsidR="00255C99" w:rsidRPr="00AC157C">
        <w:rPr>
          <w:rFonts w:ascii="Times New Roman" w:hAnsi="Times New Roman" w:cs="Times New Roman"/>
          <w:sz w:val="24"/>
          <w:szCs w:val="24"/>
        </w:rPr>
        <w:t xml:space="preserve"> </w:t>
      </w:r>
    </w:p>
    <w:p w14:paraId="7B5CD5CE" w14:textId="7711161F" w:rsidR="00F306A8" w:rsidRPr="00AC157C" w:rsidRDefault="00255C99"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The assets and liabilities have to be identified at fair values at the date of acquisition.</w:t>
      </w:r>
      <w:r w:rsidR="006753EA" w:rsidRPr="00AC157C">
        <w:rPr>
          <w:rFonts w:ascii="Times New Roman" w:hAnsi="Times New Roman" w:cs="Times New Roman"/>
          <w:sz w:val="24"/>
          <w:szCs w:val="24"/>
        </w:rPr>
        <w:t xml:space="preserve"> This accounting standard is not applicable to any </w:t>
      </w:r>
      <w:r w:rsidR="005F7909" w:rsidRPr="00AC157C">
        <w:rPr>
          <w:rFonts w:ascii="Times New Roman" w:hAnsi="Times New Roman" w:cs="Times New Roman"/>
          <w:sz w:val="24"/>
          <w:szCs w:val="24"/>
        </w:rPr>
        <w:t>assets that have been valued under any other accounting</w:t>
      </w:r>
      <w:r w:rsidR="002C0C0F" w:rsidRPr="00AC157C">
        <w:rPr>
          <w:rFonts w:ascii="Times New Roman" w:hAnsi="Times New Roman" w:cs="Times New Roman"/>
          <w:sz w:val="24"/>
          <w:szCs w:val="24"/>
        </w:rPr>
        <w:t xml:space="preserve"> standa</w:t>
      </w:r>
      <w:r w:rsidR="00B102E0" w:rsidRPr="00AC157C">
        <w:rPr>
          <w:rFonts w:ascii="Times New Roman" w:hAnsi="Times New Roman" w:cs="Times New Roman"/>
          <w:sz w:val="24"/>
          <w:szCs w:val="24"/>
        </w:rPr>
        <w:t>rd which are different from the valuation principles used in this standard.</w:t>
      </w:r>
      <w:r w:rsidR="0059423C" w:rsidRPr="00AC157C">
        <w:rPr>
          <w:rFonts w:ascii="Times New Roman" w:hAnsi="Times New Roman" w:cs="Times New Roman"/>
          <w:sz w:val="24"/>
          <w:szCs w:val="24"/>
        </w:rPr>
        <w:t xml:space="preserve"> Another exception pertains to situation where </w:t>
      </w:r>
      <w:r w:rsidR="003268B3" w:rsidRPr="00AC157C">
        <w:rPr>
          <w:rFonts w:ascii="Times New Roman" w:hAnsi="Times New Roman" w:cs="Times New Roman"/>
          <w:sz w:val="24"/>
          <w:szCs w:val="24"/>
        </w:rPr>
        <w:t>assets have been valued based on an amount other than fair</w:t>
      </w:r>
      <w:r w:rsidR="00C5117C" w:rsidRPr="00AC157C">
        <w:rPr>
          <w:rFonts w:ascii="Times New Roman" w:hAnsi="Times New Roman" w:cs="Times New Roman"/>
          <w:sz w:val="24"/>
          <w:szCs w:val="24"/>
        </w:rPr>
        <w:t xml:space="preserve"> value at acquisition date.</w:t>
      </w:r>
      <w:r w:rsidR="00F50AB4" w:rsidRPr="00AC157C">
        <w:rPr>
          <w:rFonts w:ascii="Times New Roman" w:hAnsi="Times New Roman" w:cs="Times New Roman"/>
          <w:sz w:val="24"/>
          <w:szCs w:val="24"/>
        </w:rPr>
        <w:t xml:space="preserve"> An example can be given regarding contingent assets and liabilities.</w:t>
      </w:r>
      <w:r w:rsidR="002C694C" w:rsidRPr="00AC157C">
        <w:rPr>
          <w:rFonts w:ascii="Times New Roman" w:hAnsi="Times New Roman" w:cs="Times New Roman"/>
          <w:sz w:val="24"/>
          <w:szCs w:val="24"/>
        </w:rPr>
        <w:t xml:space="preserve"> A contingent liability is defined as a possible obligation that arises from past events and whose existence will be confirmed by occurrence or non-occurrence of one or more future </w:t>
      </w:r>
      <w:r w:rsidR="002C694C" w:rsidRPr="00AC157C">
        <w:rPr>
          <w:rFonts w:ascii="Times New Roman" w:hAnsi="Times New Roman" w:cs="Times New Roman"/>
          <w:sz w:val="24"/>
          <w:szCs w:val="24"/>
        </w:rPr>
        <w:lastRenderedPageBreak/>
        <w:t>events which are not under complete control of the entity.</w:t>
      </w:r>
      <w:r w:rsidR="00E57AF7" w:rsidRPr="00AC157C">
        <w:rPr>
          <w:rFonts w:ascii="Times New Roman" w:hAnsi="Times New Roman" w:cs="Times New Roman"/>
          <w:sz w:val="24"/>
          <w:szCs w:val="24"/>
        </w:rPr>
        <w:t xml:space="preserve"> If there is a deferred tax asset or liability arising out of a settlement, this will be identified under AASB 112.</w:t>
      </w:r>
      <w:r w:rsidR="0067097D" w:rsidRPr="00AC157C">
        <w:rPr>
          <w:rFonts w:ascii="Times New Roman" w:hAnsi="Times New Roman" w:cs="Times New Roman"/>
          <w:sz w:val="24"/>
          <w:szCs w:val="24"/>
        </w:rPr>
        <w:t xml:space="preserve"> Any assets or liabilities arising from </w:t>
      </w:r>
      <w:r w:rsidR="00CB33AC" w:rsidRPr="00AC157C">
        <w:rPr>
          <w:rFonts w:ascii="Times New Roman" w:hAnsi="Times New Roman" w:cs="Times New Roman"/>
          <w:sz w:val="24"/>
          <w:szCs w:val="24"/>
        </w:rPr>
        <w:t>employee benefits will be considered under AASB 119.</w:t>
      </w:r>
      <w:r w:rsidR="00F12D00" w:rsidRPr="00AC157C">
        <w:rPr>
          <w:rFonts w:ascii="Times New Roman" w:hAnsi="Times New Roman" w:cs="Times New Roman"/>
          <w:sz w:val="24"/>
          <w:szCs w:val="24"/>
        </w:rPr>
        <w:t xml:space="preserve"> </w:t>
      </w:r>
    </w:p>
    <w:p w14:paraId="552F27A4" w14:textId="0D10B0FF" w:rsidR="00C5503B" w:rsidRPr="00CE3E5D" w:rsidRDefault="00C5503B"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AASB 3</w:t>
      </w:r>
    </w:p>
    <w:p w14:paraId="6C8B9032" w14:textId="77777777" w:rsidR="00C5503B" w:rsidRPr="00AC157C" w:rsidRDefault="00DB09F3"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 xml:space="preserve">This standard will provide a new model </w:t>
      </w:r>
      <w:r w:rsidR="002251CE" w:rsidRPr="00AC157C">
        <w:rPr>
          <w:rFonts w:ascii="Times New Roman" w:hAnsi="Times New Roman" w:cs="Times New Roman"/>
          <w:sz w:val="24"/>
          <w:szCs w:val="24"/>
        </w:rPr>
        <w:t>for classifying and measuring financial assets and liabilities.</w:t>
      </w:r>
      <w:r w:rsidR="00185E77" w:rsidRPr="00AC157C">
        <w:rPr>
          <w:rFonts w:ascii="Times New Roman" w:hAnsi="Times New Roman" w:cs="Times New Roman"/>
          <w:sz w:val="24"/>
          <w:szCs w:val="24"/>
        </w:rPr>
        <w:t xml:space="preserve"> There have been little changes made to the way financial liabilities are measured.</w:t>
      </w:r>
      <w:r w:rsidR="009608FA" w:rsidRPr="00AC157C">
        <w:rPr>
          <w:rFonts w:ascii="Times New Roman" w:hAnsi="Times New Roman" w:cs="Times New Roman"/>
          <w:sz w:val="24"/>
          <w:szCs w:val="24"/>
        </w:rPr>
        <w:t xml:space="preserve"> There are some decisions that have to be made by entities which will have considerable effects on financial statements of the organization.</w:t>
      </w:r>
      <w:r w:rsidR="00684E9B" w:rsidRPr="00AC157C">
        <w:rPr>
          <w:rFonts w:ascii="Times New Roman" w:hAnsi="Times New Roman" w:cs="Times New Roman"/>
          <w:sz w:val="24"/>
          <w:szCs w:val="24"/>
        </w:rPr>
        <w:t xml:space="preserve"> The cost exemption that was available under AASB 139 will not be available to companies </w:t>
      </w:r>
      <w:r w:rsidR="005D624D" w:rsidRPr="00AC157C">
        <w:rPr>
          <w:rFonts w:ascii="Times New Roman" w:hAnsi="Times New Roman" w:cs="Times New Roman"/>
          <w:sz w:val="24"/>
          <w:szCs w:val="24"/>
        </w:rPr>
        <w:t xml:space="preserve">under this standard. </w:t>
      </w:r>
      <w:r w:rsidR="00D772BF" w:rsidRPr="00AC157C">
        <w:rPr>
          <w:rFonts w:ascii="Times New Roman" w:hAnsi="Times New Roman" w:cs="Times New Roman"/>
          <w:sz w:val="24"/>
          <w:szCs w:val="24"/>
        </w:rPr>
        <w:t xml:space="preserve">This will compel companies to </w:t>
      </w:r>
      <w:r w:rsidR="009A6DAF" w:rsidRPr="00AC157C">
        <w:rPr>
          <w:rFonts w:ascii="Times New Roman" w:hAnsi="Times New Roman" w:cs="Times New Roman"/>
          <w:sz w:val="24"/>
          <w:szCs w:val="24"/>
        </w:rPr>
        <w:t>identify fair value for all equity investments by applying AASB 13.</w:t>
      </w:r>
      <w:r w:rsidR="00C5503B" w:rsidRPr="00AC157C">
        <w:rPr>
          <w:rFonts w:ascii="Times New Roman" w:hAnsi="Times New Roman" w:cs="Times New Roman"/>
          <w:sz w:val="24"/>
          <w:szCs w:val="24"/>
        </w:rPr>
        <w:t xml:space="preserve"> </w:t>
      </w:r>
    </w:p>
    <w:p w14:paraId="647A9227" w14:textId="719EBD31" w:rsidR="00DB09F3" w:rsidRDefault="00C5503B"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 xml:space="preserve">There are four major characteristics in any acquisition method, identifying the acquirer, determining the date </w:t>
      </w:r>
      <w:r w:rsidR="0030529A" w:rsidRPr="00AC157C">
        <w:rPr>
          <w:rFonts w:ascii="Times New Roman" w:hAnsi="Times New Roman" w:cs="Times New Roman"/>
          <w:sz w:val="24"/>
          <w:szCs w:val="24"/>
        </w:rPr>
        <w:t>of acquisition, identifying assets required and liabilities assumed as a result of acquisition. A goodwill or gain from the transaction should also be measured</w:t>
      </w:r>
      <w:sdt>
        <w:sdtPr>
          <w:rPr>
            <w:rFonts w:ascii="Times New Roman" w:hAnsi="Times New Roman" w:cs="Times New Roman"/>
            <w:sz w:val="24"/>
            <w:szCs w:val="24"/>
          </w:rPr>
          <w:id w:val="1964375074"/>
          <w:citation/>
        </w:sdtPr>
        <w:sdtEndPr/>
        <w:sdtContent>
          <w:r w:rsidR="005344E8" w:rsidRPr="00AC157C">
            <w:rPr>
              <w:rFonts w:ascii="Times New Roman" w:hAnsi="Times New Roman" w:cs="Times New Roman"/>
              <w:sz w:val="24"/>
              <w:szCs w:val="24"/>
            </w:rPr>
            <w:fldChar w:fldCharType="begin"/>
          </w:r>
          <w:r w:rsidR="005344E8" w:rsidRPr="00AC157C">
            <w:rPr>
              <w:rFonts w:ascii="Times New Roman" w:hAnsi="Times New Roman" w:cs="Times New Roman"/>
              <w:sz w:val="24"/>
              <w:szCs w:val="24"/>
            </w:rPr>
            <w:instrText xml:space="preserve"> CITATION aas15 \l 1033 </w:instrText>
          </w:r>
          <w:r w:rsidR="005344E8" w:rsidRPr="00AC157C">
            <w:rPr>
              <w:rFonts w:ascii="Times New Roman" w:hAnsi="Times New Roman" w:cs="Times New Roman"/>
              <w:sz w:val="24"/>
              <w:szCs w:val="24"/>
            </w:rPr>
            <w:fldChar w:fldCharType="separate"/>
          </w:r>
          <w:r w:rsidR="005344E8" w:rsidRPr="00AC157C">
            <w:rPr>
              <w:rFonts w:ascii="Times New Roman" w:hAnsi="Times New Roman" w:cs="Times New Roman"/>
              <w:noProof/>
              <w:sz w:val="24"/>
              <w:szCs w:val="24"/>
            </w:rPr>
            <w:t xml:space="preserve"> (aasb.gov.au, 2015)</w:t>
          </w:r>
          <w:r w:rsidR="005344E8" w:rsidRPr="00AC157C">
            <w:rPr>
              <w:rFonts w:ascii="Times New Roman" w:hAnsi="Times New Roman" w:cs="Times New Roman"/>
              <w:sz w:val="24"/>
              <w:szCs w:val="24"/>
            </w:rPr>
            <w:fldChar w:fldCharType="end"/>
          </w:r>
        </w:sdtContent>
      </w:sdt>
      <w:r w:rsidR="0030529A" w:rsidRPr="00AC157C">
        <w:rPr>
          <w:rFonts w:ascii="Times New Roman" w:hAnsi="Times New Roman" w:cs="Times New Roman"/>
          <w:sz w:val="24"/>
          <w:szCs w:val="24"/>
        </w:rPr>
        <w:t>. All these aspects have been fulfilled in th</w:t>
      </w:r>
      <w:r w:rsidR="00C42E66">
        <w:rPr>
          <w:rFonts w:ascii="Times New Roman" w:hAnsi="Times New Roman" w:cs="Times New Roman"/>
          <w:sz w:val="24"/>
          <w:szCs w:val="24"/>
        </w:rPr>
        <w:t>e</w:t>
      </w:r>
      <w:r w:rsidR="0030529A" w:rsidRPr="00AC157C">
        <w:rPr>
          <w:rFonts w:ascii="Times New Roman" w:hAnsi="Times New Roman" w:cs="Times New Roman"/>
          <w:sz w:val="24"/>
          <w:szCs w:val="24"/>
        </w:rPr>
        <w:t xml:space="preserve"> transaction so this will be treated as a business combination.</w:t>
      </w:r>
      <w:r w:rsidR="00A93139">
        <w:rPr>
          <w:rFonts w:ascii="Times New Roman" w:hAnsi="Times New Roman" w:cs="Times New Roman"/>
          <w:sz w:val="24"/>
          <w:szCs w:val="24"/>
        </w:rPr>
        <w:t xml:space="preserve"> Us</w:t>
      </w:r>
      <w:r w:rsidR="00BC1DE0">
        <w:rPr>
          <w:rFonts w:ascii="Times New Roman" w:hAnsi="Times New Roman" w:cs="Times New Roman"/>
          <w:sz w:val="24"/>
          <w:szCs w:val="24"/>
        </w:rPr>
        <w:t xml:space="preserve">ers of financial statement should be able to evaluate financial effects </w:t>
      </w:r>
      <w:r w:rsidR="0010516A">
        <w:rPr>
          <w:rFonts w:ascii="Times New Roman" w:hAnsi="Times New Roman" w:cs="Times New Roman"/>
          <w:sz w:val="24"/>
          <w:szCs w:val="24"/>
        </w:rPr>
        <w:t>of adjustments recognised in current reporting period which are related to business</w:t>
      </w:r>
      <w:r w:rsidR="0012632A">
        <w:rPr>
          <w:rFonts w:ascii="Times New Roman" w:hAnsi="Times New Roman" w:cs="Times New Roman"/>
          <w:sz w:val="24"/>
          <w:szCs w:val="24"/>
        </w:rPr>
        <w:t xml:space="preserve"> combinations which took place in </w:t>
      </w:r>
      <w:r w:rsidR="00C273A0">
        <w:rPr>
          <w:rFonts w:ascii="Times New Roman" w:hAnsi="Times New Roman" w:cs="Times New Roman"/>
          <w:sz w:val="24"/>
          <w:szCs w:val="24"/>
        </w:rPr>
        <w:t>current or past accounting periods</w:t>
      </w:r>
      <w:sdt>
        <w:sdtPr>
          <w:rPr>
            <w:rFonts w:ascii="Times New Roman" w:hAnsi="Times New Roman" w:cs="Times New Roman"/>
            <w:sz w:val="24"/>
            <w:szCs w:val="24"/>
          </w:rPr>
          <w:id w:val="-119764082"/>
          <w:citation/>
        </w:sdtPr>
        <w:sdtEndPr/>
        <w:sdtContent>
          <w:r w:rsidR="0025140C">
            <w:rPr>
              <w:rFonts w:ascii="Times New Roman" w:hAnsi="Times New Roman" w:cs="Times New Roman"/>
              <w:sz w:val="24"/>
              <w:szCs w:val="24"/>
            </w:rPr>
            <w:fldChar w:fldCharType="begin"/>
          </w:r>
          <w:r w:rsidR="0025140C">
            <w:rPr>
              <w:rFonts w:ascii="Times New Roman" w:hAnsi="Times New Roman" w:cs="Times New Roman"/>
              <w:sz w:val="24"/>
              <w:szCs w:val="24"/>
            </w:rPr>
            <w:instrText xml:space="preserve"> CITATION aas151 \l 1033 </w:instrText>
          </w:r>
          <w:r w:rsidR="0025140C">
            <w:rPr>
              <w:rFonts w:ascii="Times New Roman" w:hAnsi="Times New Roman" w:cs="Times New Roman"/>
              <w:sz w:val="24"/>
              <w:szCs w:val="24"/>
            </w:rPr>
            <w:fldChar w:fldCharType="separate"/>
          </w:r>
          <w:r w:rsidR="0025140C">
            <w:rPr>
              <w:rFonts w:ascii="Times New Roman" w:hAnsi="Times New Roman" w:cs="Times New Roman"/>
              <w:noProof/>
              <w:sz w:val="24"/>
              <w:szCs w:val="24"/>
            </w:rPr>
            <w:t xml:space="preserve"> </w:t>
          </w:r>
          <w:r w:rsidR="0025140C" w:rsidRPr="0025140C">
            <w:rPr>
              <w:rFonts w:ascii="Times New Roman" w:hAnsi="Times New Roman" w:cs="Times New Roman"/>
              <w:noProof/>
              <w:sz w:val="24"/>
              <w:szCs w:val="24"/>
            </w:rPr>
            <w:t>(aasb.gov.au, 2015)</w:t>
          </w:r>
          <w:r w:rsidR="0025140C">
            <w:rPr>
              <w:rFonts w:ascii="Times New Roman" w:hAnsi="Times New Roman" w:cs="Times New Roman"/>
              <w:sz w:val="24"/>
              <w:szCs w:val="24"/>
            </w:rPr>
            <w:fldChar w:fldCharType="end"/>
          </w:r>
        </w:sdtContent>
      </w:sdt>
      <w:r w:rsidR="00C273A0">
        <w:rPr>
          <w:rFonts w:ascii="Times New Roman" w:hAnsi="Times New Roman" w:cs="Times New Roman"/>
          <w:sz w:val="24"/>
          <w:szCs w:val="24"/>
        </w:rPr>
        <w:t>.</w:t>
      </w:r>
    </w:p>
    <w:p w14:paraId="128A055A" w14:textId="77777777" w:rsidR="00C67B7F" w:rsidRPr="00CE3E5D" w:rsidRDefault="00C67B7F" w:rsidP="00C67B7F">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Effects of misstatement</w:t>
      </w:r>
    </w:p>
    <w:p w14:paraId="7468D196" w14:textId="080EC281" w:rsidR="00E51C14" w:rsidRDefault="00E51C14" w:rsidP="00AC157C">
      <w:pPr>
        <w:spacing w:line="480" w:lineRule="auto"/>
        <w:ind w:firstLine="720"/>
        <w:rPr>
          <w:rFonts w:ascii="Times New Roman" w:hAnsi="Times New Roman" w:cs="Times New Roman"/>
          <w:sz w:val="24"/>
          <w:szCs w:val="24"/>
        </w:rPr>
      </w:pPr>
      <w:bookmarkStart w:id="0" w:name="_GoBack"/>
      <w:bookmarkEnd w:id="0"/>
      <w:r w:rsidRPr="00AC157C">
        <w:rPr>
          <w:rFonts w:ascii="Times New Roman" w:hAnsi="Times New Roman" w:cs="Times New Roman"/>
          <w:sz w:val="24"/>
          <w:szCs w:val="24"/>
        </w:rPr>
        <w:t xml:space="preserve">Failure to include this even in disclosure will affect </w:t>
      </w:r>
      <w:r w:rsidR="00A476A1" w:rsidRPr="00AC157C">
        <w:rPr>
          <w:rFonts w:ascii="Times New Roman" w:hAnsi="Times New Roman" w:cs="Times New Roman"/>
          <w:sz w:val="24"/>
          <w:szCs w:val="24"/>
        </w:rPr>
        <w:t xml:space="preserve">all balance sheet items because there will be assets and liabilities acquired from the acquired firm. These items should be shown as part of </w:t>
      </w:r>
      <w:r w:rsidR="00AC2DD7" w:rsidRPr="00AC157C">
        <w:rPr>
          <w:rFonts w:ascii="Times New Roman" w:hAnsi="Times New Roman" w:cs="Times New Roman"/>
          <w:sz w:val="24"/>
          <w:szCs w:val="24"/>
        </w:rPr>
        <w:t>financial statements of the acquirer.</w:t>
      </w:r>
    </w:p>
    <w:p w14:paraId="4104DB73" w14:textId="7263A630" w:rsidR="00C67B7F" w:rsidRPr="00CE3E5D" w:rsidRDefault="00C67B7F" w:rsidP="00C67B7F">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Balance Related Audit Principle</w:t>
      </w:r>
    </w:p>
    <w:p w14:paraId="1EC3B623" w14:textId="0F743C7D" w:rsidR="00C5503B" w:rsidRPr="00AC157C" w:rsidRDefault="00B81E33"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lastRenderedPageBreak/>
        <w:t>Auditors will apply classification as their balance related objective to see if asset</w:t>
      </w:r>
      <w:r w:rsidR="00B07E67" w:rsidRPr="00AC157C">
        <w:rPr>
          <w:rFonts w:ascii="Times New Roman" w:hAnsi="Times New Roman" w:cs="Times New Roman"/>
          <w:sz w:val="24"/>
          <w:szCs w:val="24"/>
        </w:rPr>
        <w:t xml:space="preserve">s and liabilities arising from </w:t>
      </w:r>
      <w:r w:rsidRPr="00AC157C">
        <w:rPr>
          <w:rFonts w:ascii="Times New Roman" w:hAnsi="Times New Roman" w:cs="Times New Roman"/>
          <w:sz w:val="24"/>
          <w:szCs w:val="24"/>
        </w:rPr>
        <w:t>mentioned combination</w:t>
      </w:r>
      <w:r w:rsidR="00B07E67" w:rsidRPr="00AC157C">
        <w:rPr>
          <w:rFonts w:ascii="Times New Roman" w:hAnsi="Times New Roman" w:cs="Times New Roman"/>
          <w:sz w:val="24"/>
          <w:szCs w:val="24"/>
        </w:rPr>
        <w:t xml:space="preserve"> have been correctly classified. This principle will also apply on direct and indirect expenses of the consolidated financial statements</w:t>
      </w:r>
      <w:sdt>
        <w:sdtPr>
          <w:rPr>
            <w:rFonts w:ascii="Times New Roman" w:hAnsi="Times New Roman" w:cs="Times New Roman"/>
            <w:sz w:val="24"/>
            <w:szCs w:val="24"/>
          </w:rPr>
          <w:id w:val="-192144510"/>
          <w:citation/>
        </w:sdtPr>
        <w:sdtEndPr/>
        <w:sdtContent>
          <w:r w:rsidR="00631486">
            <w:rPr>
              <w:rFonts w:ascii="Times New Roman" w:hAnsi="Times New Roman" w:cs="Times New Roman"/>
              <w:sz w:val="24"/>
              <w:szCs w:val="24"/>
            </w:rPr>
            <w:fldChar w:fldCharType="begin"/>
          </w:r>
          <w:r w:rsidR="00631486">
            <w:rPr>
              <w:rFonts w:ascii="Times New Roman" w:hAnsi="Times New Roman" w:cs="Times New Roman"/>
              <w:sz w:val="24"/>
              <w:szCs w:val="24"/>
            </w:rPr>
            <w:instrText xml:space="preserve"> CITATION ILe18 \l 1033 </w:instrText>
          </w:r>
          <w:r w:rsidR="00631486">
            <w:rPr>
              <w:rFonts w:ascii="Times New Roman" w:hAnsi="Times New Roman" w:cs="Times New Roman"/>
              <w:sz w:val="24"/>
              <w:szCs w:val="24"/>
            </w:rPr>
            <w:fldChar w:fldCharType="separate"/>
          </w:r>
          <w:r w:rsidR="00631486">
            <w:rPr>
              <w:rFonts w:ascii="Times New Roman" w:hAnsi="Times New Roman" w:cs="Times New Roman"/>
              <w:noProof/>
              <w:sz w:val="24"/>
              <w:szCs w:val="24"/>
            </w:rPr>
            <w:t xml:space="preserve"> </w:t>
          </w:r>
          <w:r w:rsidR="00631486" w:rsidRPr="00631486">
            <w:rPr>
              <w:rFonts w:ascii="Times New Roman" w:hAnsi="Times New Roman" w:cs="Times New Roman"/>
              <w:noProof/>
              <w:sz w:val="24"/>
              <w:szCs w:val="24"/>
            </w:rPr>
            <w:t>(I.Lessambo, 2018)</w:t>
          </w:r>
          <w:r w:rsidR="00631486">
            <w:rPr>
              <w:rFonts w:ascii="Times New Roman" w:hAnsi="Times New Roman" w:cs="Times New Roman"/>
              <w:sz w:val="24"/>
              <w:szCs w:val="24"/>
            </w:rPr>
            <w:fldChar w:fldCharType="end"/>
          </w:r>
        </w:sdtContent>
      </w:sdt>
      <w:r w:rsidR="00B07E67" w:rsidRPr="00AC157C">
        <w:rPr>
          <w:rFonts w:ascii="Times New Roman" w:hAnsi="Times New Roman" w:cs="Times New Roman"/>
          <w:sz w:val="24"/>
          <w:szCs w:val="24"/>
        </w:rPr>
        <w:t>.</w:t>
      </w:r>
    </w:p>
    <w:p w14:paraId="5009DC27" w14:textId="47243A33" w:rsidR="009D4302" w:rsidRPr="00CE3E5D" w:rsidRDefault="00C67B7F" w:rsidP="00C67B7F">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Event 3</w:t>
      </w:r>
    </w:p>
    <w:p w14:paraId="73450D10" w14:textId="691B4B79" w:rsidR="00DB09F3" w:rsidRPr="00AC157C" w:rsidRDefault="00253787"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Macquarie infrastructure and real Assets agrees to acquire BARD offshore 1 which is a North S</w:t>
      </w:r>
      <w:r w:rsidR="00D82C74" w:rsidRPr="00AC157C">
        <w:rPr>
          <w:rFonts w:ascii="Times New Roman" w:hAnsi="Times New Roman" w:cs="Times New Roman"/>
          <w:sz w:val="24"/>
          <w:szCs w:val="24"/>
        </w:rPr>
        <w:t>ea</w:t>
      </w:r>
      <w:r w:rsidRPr="00AC157C">
        <w:rPr>
          <w:rFonts w:ascii="Times New Roman" w:hAnsi="Times New Roman" w:cs="Times New Roman"/>
          <w:sz w:val="24"/>
          <w:szCs w:val="24"/>
        </w:rPr>
        <w:t>wind farm owned by O</w:t>
      </w:r>
      <w:r w:rsidR="00407CE8" w:rsidRPr="00AC157C">
        <w:rPr>
          <w:rFonts w:ascii="Times New Roman" w:hAnsi="Times New Roman" w:cs="Times New Roman"/>
          <w:sz w:val="24"/>
          <w:szCs w:val="24"/>
        </w:rPr>
        <w:t>c</w:t>
      </w:r>
      <w:r w:rsidRPr="00AC157C">
        <w:rPr>
          <w:rFonts w:ascii="Times New Roman" w:hAnsi="Times New Roman" w:cs="Times New Roman"/>
          <w:sz w:val="24"/>
          <w:szCs w:val="24"/>
        </w:rPr>
        <w:t>ean Breeze Energy.</w:t>
      </w:r>
      <w:r w:rsidR="00407CE8" w:rsidRPr="00AC157C">
        <w:rPr>
          <w:rFonts w:ascii="Times New Roman" w:hAnsi="Times New Roman" w:cs="Times New Roman"/>
          <w:sz w:val="24"/>
          <w:szCs w:val="24"/>
        </w:rPr>
        <w:t xml:space="preserve"> This project provides approximately 463000 households with cleaner electricity each year</w:t>
      </w:r>
      <w:sdt>
        <w:sdtPr>
          <w:rPr>
            <w:rFonts w:ascii="Times New Roman" w:hAnsi="Times New Roman" w:cs="Times New Roman"/>
            <w:sz w:val="24"/>
            <w:szCs w:val="24"/>
          </w:rPr>
          <w:id w:val="1411501653"/>
          <w:citation/>
        </w:sdtPr>
        <w:sdtEndPr/>
        <w:sdtContent>
          <w:r w:rsidR="00631486">
            <w:rPr>
              <w:rFonts w:ascii="Times New Roman" w:hAnsi="Times New Roman" w:cs="Times New Roman"/>
              <w:sz w:val="24"/>
              <w:szCs w:val="24"/>
            </w:rPr>
            <w:fldChar w:fldCharType="begin"/>
          </w:r>
          <w:r w:rsidR="00631486">
            <w:rPr>
              <w:rFonts w:ascii="Times New Roman" w:hAnsi="Times New Roman" w:cs="Times New Roman"/>
              <w:sz w:val="24"/>
              <w:szCs w:val="24"/>
            </w:rPr>
            <w:instrText xml:space="preserve"> CITATION Pat19 \l 1033 </w:instrText>
          </w:r>
          <w:r w:rsidR="00631486">
            <w:rPr>
              <w:rFonts w:ascii="Times New Roman" w:hAnsi="Times New Roman" w:cs="Times New Roman"/>
              <w:sz w:val="24"/>
              <w:szCs w:val="24"/>
            </w:rPr>
            <w:fldChar w:fldCharType="separate"/>
          </w:r>
          <w:r w:rsidR="00631486">
            <w:rPr>
              <w:rFonts w:ascii="Times New Roman" w:hAnsi="Times New Roman" w:cs="Times New Roman"/>
              <w:noProof/>
              <w:sz w:val="24"/>
              <w:szCs w:val="24"/>
            </w:rPr>
            <w:t xml:space="preserve"> </w:t>
          </w:r>
          <w:r w:rsidR="00631486" w:rsidRPr="00631486">
            <w:rPr>
              <w:rFonts w:ascii="Times New Roman" w:hAnsi="Times New Roman" w:cs="Times New Roman"/>
              <w:noProof/>
              <w:sz w:val="24"/>
              <w:szCs w:val="24"/>
            </w:rPr>
            <w:t>(Gallagher, 2019)</w:t>
          </w:r>
          <w:r w:rsidR="00631486">
            <w:rPr>
              <w:rFonts w:ascii="Times New Roman" w:hAnsi="Times New Roman" w:cs="Times New Roman"/>
              <w:sz w:val="24"/>
              <w:szCs w:val="24"/>
            </w:rPr>
            <w:fldChar w:fldCharType="end"/>
          </w:r>
        </w:sdtContent>
      </w:sdt>
      <w:r w:rsidR="00407CE8" w:rsidRPr="00AC157C">
        <w:rPr>
          <w:rFonts w:ascii="Times New Roman" w:hAnsi="Times New Roman" w:cs="Times New Roman"/>
          <w:sz w:val="24"/>
          <w:szCs w:val="24"/>
        </w:rPr>
        <w:t>.</w:t>
      </w:r>
      <w:r w:rsidR="00746F8E" w:rsidRPr="00AC157C">
        <w:rPr>
          <w:rFonts w:ascii="Times New Roman" w:hAnsi="Times New Roman" w:cs="Times New Roman"/>
          <w:sz w:val="24"/>
          <w:szCs w:val="24"/>
        </w:rPr>
        <w:t xml:space="preserve"> This situation requires for the application of AASB 3 that relates to business combinations. </w:t>
      </w:r>
      <w:r w:rsidR="00B66AE2" w:rsidRPr="00AC157C">
        <w:rPr>
          <w:rFonts w:ascii="Times New Roman" w:hAnsi="Times New Roman" w:cs="Times New Roman"/>
          <w:sz w:val="24"/>
          <w:szCs w:val="24"/>
        </w:rPr>
        <w:t xml:space="preserve">There is an acquirer which is the subsidiary of Macquarie group. </w:t>
      </w:r>
      <w:r w:rsidR="008C5918" w:rsidRPr="00AC157C">
        <w:rPr>
          <w:rFonts w:ascii="Times New Roman" w:hAnsi="Times New Roman" w:cs="Times New Roman"/>
          <w:sz w:val="24"/>
          <w:szCs w:val="24"/>
        </w:rPr>
        <w:t xml:space="preserve">The acquisition date is </w:t>
      </w:r>
      <w:r w:rsidR="008B02D1" w:rsidRPr="00AC157C">
        <w:rPr>
          <w:rFonts w:ascii="Times New Roman" w:hAnsi="Times New Roman" w:cs="Times New Roman"/>
          <w:sz w:val="24"/>
          <w:szCs w:val="24"/>
        </w:rPr>
        <w:t>7 August 2019.</w:t>
      </w:r>
      <w:r w:rsidR="0025445B" w:rsidRPr="00AC157C">
        <w:rPr>
          <w:rFonts w:ascii="Times New Roman" w:hAnsi="Times New Roman" w:cs="Times New Roman"/>
          <w:sz w:val="24"/>
          <w:szCs w:val="24"/>
        </w:rPr>
        <w:t xml:space="preserve"> As on acquisition date, acquirer should identify assets acquired and liabilities assumed other than goodwill.</w:t>
      </w:r>
      <w:r w:rsidR="001375EE" w:rsidRPr="00AC157C">
        <w:rPr>
          <w:rFonts w:ascii="Times New Roman" w:hAnsi="Times New Roman" w:cs="Times New Roman"/>
          <w:sz w:val="24"/>
          <w:szCs w:val="24"/>
        </w:rPr>
        <w:t xml:space="preserve"> </w:t>
      </w:r>
      <w:r w:rsidR="00DB09F3" w:rsidRPr="00AC157C">
        <w:rPr>
          <w:rFonts w:ascii="Times New Roman" w:hAnsi="Times New Roman" w:cs="Times New Roman"/>
          <w:sz w:val="24"/>
          <w:szCs w:val="24"/>
        </w:rPr>
        <w:t>AASB 3 will be applicable in this situation that is related to business combinations. The date of agreement is 12</w:t>
      </w:r>
      <w:r w:rsidR="00DB09F3" w:rsidRPr="00AC157C">
        <w:rPr>
          <w:rFonts w:ascii="Times New Roman" w:hAnsi="Times New Roman" w:cs="Times New Roman"/>
          <w:sz w:val="24"/>
          <w:szCs w:val="24"/>
          <w:vertAlign w:val="superscript"/>
        </w:rPr>
        <w:t>th</w:t>
      </w:r>
      <w:r w:rsidR="00DB09F3" w:rsidRPr="00AC157C">
        <w:rPr>
          <w:rFonts w:ascii="Times New Roman" w:hAnsi="Times New Roman" w:cs="Times New Roman"/>
          <w:sz w:val="24"/>
          <w:szCs w:val="24"/>
        </w:rPr>
        <w:t xml:space="preserve"> August 2019. The assets acquired and liabilities assumed in this case make up business for company because it has been involved in renewable energy sector. GIG will have to classify and designate assets and liabilities assumed as necessary to apply to other accounting standards of Australia. These assessments will be done on the basis of terms of contract, economic conditions, operating and accounting policies and any other relevant condition that may affect this acquisition. The assets and liabilities have to be identified at fair values at the date of acquisition. This accounting standard is not applicable to any assets that have been valued under any other accounting standard which are different from the valuation principles used in this standard. Another exception pertains to situation where assets have been valued based on an amount other than fair value at acquisition date. An example can be given regarding contingent assets and liabilities. A contingent liability is defined as a possible obligation that arises from </w:t>
      </w:r>
      <w:r w:rsidR="00DB09F3" w:rsidRPr="00AC157C">
        <w:rPr>
          <w:rFonts w:ascii="Times New Roman" w:hAnsi="Times New Roman" w:cs="Times New Roman"/>
          <w:sz w:val="24"/>
          <w:szCs w:val="24"/>
        </w:rPr>
        <w:lastRenderedPageBreak/>
        <w:t>past events and whose existence will be confirmed by occurrence or non-occurrence of one or more future events which are not under complete control of the entity. If there is a deferred tax asset or liability arising out of a settlement, this will be identified under AASB 112. Any assets or liabilities arising from employee benefits will be considered under AASB 119.</w:t>
      </w:r>
    </w:p>
    <w:p w14:paraId="3DD91791" w14:textId="142DEE20" w:rsidR="005E12A7" w:rsidRPr="00CE3E5D" w:rsidRDefault="005E12A7"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 xml:space="preserve">AASB 3 </w:t>
      </w:r>
    </w:p>
    <w:p w14:paraId="04A5EB6A" w14:textId="77777777" w:rsidR="00954E5B" w:rsidRPr="00AC157C" w:rsidRDefault="005E12A7"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ab/>
      </w:r>
      <w:r w:rsidR="00954E5B" w:rsidRPr="00AC157C">
        <w:rPr>
          <w:rFonts w:ascii="Times New Roman" w:hAnsi="Times New Roman" w:cs="Times New Roman"/>
          <w:sz w:val="24"/>
          <w:szCs w:val="24"/>
        </w:rPr>
        <w:t xml:space="preserve">This standard will provide a new model for classifying and measuring financial assets and liabilities. There have been little changes made to the way financial liabilities are measured. There are some decisions that have to be made by entities which will have considerable effects on financial statements of the organization. The cost exemption that was available under AASB 139 will not be available to companies under this standard. This will compel companies to identify fair value for all equity investments by applying AASB 13. </w:t>
      </w:r>
    </w:p>
    <w:p w14:paraId="6C44FD86" w14:textId="77777777" w:rsidR="00954E5B" w:rsidRDefault="00954E5B"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There are four major characteristics in any acquisition method, identifying the acquirer, determining the date of acquisition, identifying assets required and liabilities assumed as a result of acquisition. A goodwill or gain from the transaction should also be measured</w:t>
      </w:r>
      <w:sdt>
        <w:sdtPr>
          <w:rPr>
            <w:rFonts w:ascii="Times New Roman" w:hAnsi="Times New Roman" w:cs="Times New Roman"/>
            <w:sz w:val="24"/>
            <w:szCs w:val="24"/>
          </w:rPr>
          <w:id w:val="-1971588430"/>
          <w:citation/>
        </w:sdtPr>
        <w:sdtEndPr/>
        <w:sdtContent>
          <w:r w:rsidRPr="00AC157C">
            <w:rPr>
              <w:rFonts w:ascii="Times New Roman" w:hAnsi="Times New Roman" w:cs="Times New Roman"/>
              <w:sz w:val="24"/>
              <w:szCs w:val="24"/>
            </w:rPr>
            <w:fldChar w:fldCharType="begin"/>
          </w:r>
          <w:r w:rsidRPr="00AC157C">
            <w:rPr>
              <w:rFonts w:ascii="Times New Roman" w:hAnsi="Times New Roman" w:cs="Times New Roman"/>
              <w:sz w:val="24"/>
              <w:szCs w:val="24"/>
            </w:rPr>
            <w:instrText xml:space="preserve"> CITATION aas15 \l 1033 </w:instrText>
          </w:r>
          <w:r w:rsidRPr="00AC157C">
            <w:rPr>
              <w:rFonts w:ascii="Times New Roman" w:hAnsi="Times New Roman" w:cs="Times New Roman"/>
              <w:sz w:val="24"/>
              <w:szCs w:val="24"/>
            </w:rPr>
            <w:fldChar w:fldCharType="separate"/>
          </w:r>
          <w:r w:rsidRPr="00AC157C">
            <w:rPr>
              <w:rFonts w:ascii="Times New Roman" w:hAnsi="Times New Roman" w:cs="Times New Roman"/>
              <w:noProof/>
              <w:sz w:val="24"/>
              <w:szCs w:val="24"/>
            </w:rPr>
            <w:t xml:space="preserve"> (aasb.gov.au, 2015)</w:t>
          </w:r>
          <w:r w:rsidRPr="00AC157C">
            <w:rPr>
              <w:rFonts w:ascii="Times New Roman" w:hAnsi="Times New Roman" w:cs="Times New Roman"/>
              <w:sz w:val="24"/>
              <w:szCs w:val="24"/>
            </w:rPr>
            <w:fldChar w:fldCharType="end"/>
          </w:r>
        </w:sdtContent>
      </w:sdt>
      <w:r w:rsidRPr="00AC157C">
        <w:rPr>
          <w:rFonts w:ascii="Times New Roman" w:hAnsi="Times New Roman" w:cs="Times New Roman"/>
          <w:sz w:val="24"/>
          <w:szCs w:val="24"/>
        </w:rPr>
        <w:t>. All these aspects have been fulfilled in this transaction so this will be treated as a business combination.</w:t>
      </w:r>
    </w:p>
    <w:p w14:paraId="5E05667D" w14:textId="0EFC289B" w:rsidR="00C67B7F" w:rsidRPr="00CE3E5D" w:rsidRDefault="00C67B7F" w:rsidP="00C67B7F">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Why will auditors check application of standard?</w:t>
      </w:r>
    </w:p>
    <w:p w14:paraId="4C69DC1C" w14:textId="731DD00F" w:rsidR="005E12A7" w:rsidRDefault="00954E5B"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t>Information regarding business combination will be included in financial statements so that users are</w:t>
      </w:r>
      <w:r w:rsidR="00D4406E" w:rsidRPr="00AC157C">
        <w:rPr>
          <w:rFonts w:ascii="Times New Roman" w:hAnsi="Times New Roman" w:cs="Times New Roman"/>
          <w:sz w:val="24"/>
          <w:szCs w:val="24"/>
        </w:rPr>
        <w:t xml:space="preserve"> able to </w:t>
      </w:r>
      <w:r w:rsidR="0016059E" w:rsidRPr="00AC157C">
        <w:rPr>
          <w:rFonts w:ascii="Times New Roman" w:hAnsi="Times New Roman" w:cs="Times New Roman"/>
          <w:sz w:val="24"/>
          <w:szCs w:val="24"/>
        </w:rPr>
        <w:t xml:space="preserve">evaluate the nature and financial impact of any business combination. Business combination events may occur during financial year or after its end but before </w:t>
      </w:r>
      <w:r w:rsidR="00C0756E" w:rsidRPr="00AC157C">
        <w:rPr>
          <w:rFonts w:ascii="Times New Roman" w:hAnsi="Times New Roman" w:cs="Times New Roman"/>
          <w:sz w:val="24"/>
          <w:szCs w:val="24"/>
        </w:rPr>
        <w:t xml:space="preserve">publishing financial </w:t>
      </w:r>
      <w:r w:rsidR="00253D90" w:rsidRPr="00AC157C">
        <w:rPr>
          <w:rFonts w:ascii="Times New Roman" w:hAnsi="Times New Roman" w:cs="Times New Roman"/>
          <w:sz w:val="24"/>
          <w:szCs w:val="24"/>
        </w:rPr>
        <w:t>statements</w:t>
      </w:r>
      <w:r w:rsidR="00C0756E" w:rsidRPr="00AC157C">
        <w:rPr>
          <w:rFonts w:ascii="Times New Roman" w:hAnsi="Times New Roman" w:cs="Times New Roman"/>
          <w:sz w:val="24"/>
          <w:szCs w:val="24"/>
        </w:rPr>
        <w:t>.</w:t>
      </w:r>
      <w:r w:rsidR="00253D90" w:rsidRPr="00AC157C">
        <w:rPr>
          <w:rFonts w:ascii="Times New Roman" w:hAnsi="Times New Roman" w:cs="Times New Roman"/>
          <w:sz w:val="24"/>
          <w:szCs w:val="24"/>
        </w:rPr>
        <w:t xml:space="preserve"> </w:t>
      </w:r>
    </w:p>
    <w:p w14:paraId="53D99A68" w14:textId="77777777" w:rsidR="00C67B7F" w:rsidRPr="00AC157C" w:rsidRDefault="00C67B7F" w:rsidP="00AC157C">
      <w:pPr>
        <w:spacing w:line="480" w:lineRule="auto"/>
        <w:rPr>
          <w:rFonts w:ascii="Times New Roman" w:hAnsi="Times New Roman" w:cs="Times New Roman"/>
          <w:sz w:val="24"/>
          <w:szCs w:val="24"/>
        </w:rPr>
      </w:pPr>
    </w:p>
    <w:p w14:paraId="7AAE6A04" w14:textId="027B4091" w:rsidR="00C67B7F" w:rsidRPr="00CE3E5D" w:rsidRDefault="00C67B7F"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lastRenderedPageBreak/>
        <w:t>Effects of misstatement</w:t>
      </w:r>
    </w:p>
    <w:p w14:paraId="305615CF" w14:textId="718F6FED" w:rsidR="001D2575" w:rsidRDefault="00267F11" w:rsidP="001D2575">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 xml:space="preserve">Failure to state this event will </w:t>
      </w:r>
      <w:r w:rsidR="00952ACC" w:rsidRPr="00AC157C">
        <w:rPr>
          <w:rFonts w:ascii="Times New Roman" w:hAnsi="Times New Roman" w:cs="Times New Roman"/>
          <w:sz w:val="24"/>
          <w:szCs w:val="24"/>
        </w:rPr>
        <w:t>affect the overall business position in the eyes of various stakehold</w:t>
      </w:r>
      <w:r w:rsidR="00575A1E" w:rsidRPr="00AC157C">
        <w:rPr>
          <w:rFonts w:ascii="Times New Roman" w:hAnsi="Times New Roman" w:cs="Times New Roman"/>
          <w:sz w:val="24"/>
          <w:szCs w:val="24"/>
        </w:rPr>
        <w:t>ers especially those related to firm acquired.</w:t>
      </w:r>
      <w:r w:rsidR="0059262E" w:rsidRPr="00AC157C">
        <w:rPr>
          <w:rFonts w:ascii="Times New Roman" w:hAnsi="Times New Roman" w:cs="Times New Roman"/>
          <w:sz w:val="24"/>
          <w:szCs w:val="24"/>
        </w:rPr>
        <w:t xml:space="preserve"> Macquarie group will also understate its assets and liabilities if it does not show the event in its statements.</w:t>
      </w:r>
      <w:r w:rsidR="00B21510" w:rsidRPr="00AC157C">
        <w:rPr>
          <w:rFonts w:ascii="Times New Roman" w:hAnsi="Times New Roman" w:cs="Times New Roman"/>
          <w:sz w:val="24"/>
          <w:szCs w:val="24"/>
        </w:rPr>
        <w:t xml:space="preserve"> </w:t>
      </w:r>
    </w:p>
    <w:p w14:paraId="4D68ABC1" w14:textId="4391E3FB" w:rsidR="00C67B7F" w:rsidRPr="00CE3E5D" w:rsidRDefault="00C67B7F" w:rsidP="00C67B7F">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Balance related principles applied</w:t>
      </w:r>
    </w:p>
    <w:p w14:paraId="7C026B23" w14:textId="26C5CD1D" w:rsidR="00FE448D" w:rsidRPr="00AC157C" w:rsidRDefault="00DB4396"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t xml:space="preserve">Auditors will apply existence and accuracy as their balance related audit principles. Existence will show whether the amounts recorded in financial statements do exist in actual whereas accuracy will show whether these amounts have </w:t>
      </w:r>
      <w:r w:rsidR="00D81329" w:rsidRPr="00AC157C">
        <w:rPr>
          <w:rFonts w:ascii="Times New Roman" w:hAnsi="Times New Roman" w:cs="Times New Roman"/>
          <w:sz w:val="24"/>
          <w:szCs w:val="24"/>
        </w:rPr>
        <w:t>been accurately recorded in financial statements or not.</w:t>
      </w:r>
    </w:p>
    <w:p w14:paraId="658DE4A7" w14:textId="44711E58" w:rsidR="009D4302" w:rsidRPr="00CE3E5D" w:rsidRDefault="00911467" w:rsidP="00C67B7F">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Event 4</w:t>
      </w:r>
    </w:p>
    <w:p w14:paraId="3C0A3B5B" w14:textId="61E5AB11" w:rsidR="0018269A" w:rsidRDefault="00D82C74" w:rsidP="00AC157C">
      <w:pPr>
        <w:spacing w:line="480" w:lineRule="auto"/>
        <w:ind w:firstLine="720"/>
        <w:rPr>
          <w:rFonts w:ascii="Times New Roman" w:hAnsi="Times New Roman" w:cs="Times New Roman"/>
          <w:sz w:val="24"/>
          <w:szCs w:val="24"/>
        </w:rPr>
      </w:pPr>
      <w:r w:rsidRPr="00AC157C">
        <w:rPr>
          <w:rFonts w:ascii="Times New Roman" w:hAnsi="Times New Roman" w:cs="Times New Roman"/>
          <w:sz w:val="24"/>
          <w:szCs w:val="24"/>
        </w:rPr>
        <w:t xml:space="preserve">Macquarie bank has announced that it will stop charging international transaction fee on any international transaction </w:t>
      </w:r>
      <w:r w:rsidR="00977D2D" w:rsidRPr="00AC157C">
        <w:rPr>
          <w:rFonts w:ascii="Times New Roman" w:hAnsi="Times New Roman" w:cs="Times New Roman"/>
          <w:sz w:val="24"/>
          <w:szCs w:val="24"/>
        </w:rPr>
        <w:t>on credit cards</w:t>
      </w:r>
      <w:sdt>
        <w:sdtPr>
          <w:rPr>
            <w:rFonts w:ascii="Times New Roman" w:hAnsi="Times New Roman" w:cs="Times New Roman"/>
            <w:sz w:val="24"/>
            <w:szCs w:val="24"/>
          </w:rPr>
          <w:id w:val="390625361"/>
          <w:citation/>
        </w:sdtPr>
        <w:sdtEndPr/>
        <w:sdtContent>
          <w:r w:rsidR="006C0186">
            <w:rPr>
              <w:rFonts w:ascii="Times New Roman" w:hAnsi="Times New Roman" w:cs="Times New Roman"/>
              <w:sz w:val="24"/>
              <w:szCs w:val="24"/>
            </w:rPr>
            <w:fldChar w:fldCharType="begin"/>
          </w:r>
          <w:r w:rsidR="006C0186">
            <w:rPr>
              <w:rFonts w:ascii="Times New Roman" w:hAnsi="Times New Roman" w:cs="Times New Roman"/>
              <w:sz w:val="24"/>
              <w:szCs w:val="24"/>
            </w:rPr>
            <w:instrText xml:space="preserve"> CITATION Pol19 \l 1033 </w:instrText>
          </w:r>
          <w:r w:rsidR="006C0186">
            <w:rPr>
              <w:rFonts w:ascii="Times New Roman" w:hAnsi="Times New Roman" w:cs="Times New Roman"/>
              <w:sz w:val="24"/>
              <w:szCs w:val="24"/>
            </w:rPr>
            <w:fldChar w:fldCharType="separate"/>
          </w:r>
          <w:r w:rsidR="006C0186">
            <w:rPr>
              <w:rFonts w:ascii="Times New Roman" w:hAnsi="Times New Roman" w:cs="Times New Roman"/>
              <w:noProof/>
              <w:sz w:val="24"/>
              <w:szCs w:val="24"/>
            </w:rPr>
            <w:t xml:space="preserve"> </w:t>
          </w:r>
          <w:r w:rsidR="006C0186" w:rsidRPr="006C0186">
            <w:rPr>
              <w:rFonts w:ascii="Times New Roman" w:hAnsi="Times New Roman" w:cs="Times New Roman"/>
              <w:noProof/>
              <w:sz w:val="24"/>
              <w:szCs w:val="24"/>
            </w:rPr>
            <w:t>(Fleeting, 2019)</w:t>
          </w:r>
          <w:r w:rsidR="006C0186">
            <w:rPr>
              <w:rFonts w:ascii="Times New Roman" w:hAnsi="Times New Roman" w:cs="Times New Roman"/>
              <w:sz w:val="24"/>
              <w:szCs w:val="24"/>
            </w:rPr>
            <w:fldChar w:fldCharType="end"/>
          </w:r>
        </w:sdtContent>
      </w:sdt>
      <w:r w:rsidR="00977D2D" w:rsidRPr="00AC157C">
        <w:rPr>
          <w:rFonts w:ascii="Times New Roman" w:hAnsi="Times New Roman" w:cs="Times New Roman"/>
          <w:sz w:val="24"/>
          <w:szCs w:val="24"/>
        </w:rPr>
        <w:t>.</w:t>
      </w:r>
      <w:r w:rsidR="007F078D" w:rsidRPr="00AC157C">
        <w:rPr>
          <w:rFonts w:ascii="Times New Roman" w:hAnsi="Times New Roman" w:cs="Times New Roman"/>
          <w:sz w:val="24"/>
          <w:szCs w:val="24"/>
        </w:rPr>
        <w:t xml:space="preserve"> This will include blocking credit cards registered under gambling and lottery merchant code.</w:t>
      </w:r>
      <w:r w:rsidR="00184947" w:rsidRPr="00AC157C">
        <w:rPr>
          <w:rFonts w:ascii="Times New Roman" w:hAnsi="Times New Roman" w:cs="Times New Roman"/>
          <w:sz w:val="24"/>
          <w:szCs w:val="24"/>
        </w:rPr>
        <w:t xml:space="preserve"> Fee received on overseas cash withdrawals on Macquarie credit cards will not be charged any more. Interest rate on advance made from credit cards will be decreased to match the purchase interest rate on these credit cards.</w:t>
      </w:r>
      <w:r w:rsidR="007951C8" w:rsidRPr="00AC157C">
        <w:rPr>
          <w:rFonts w:ascii="Times New Roman" w:hAnsi="Times New Roman" w:cs="Times New Roman"/>
          <w:sz w:val="24"/>
          <w:szCs w:val="24"/>
        </w:rPr>
        <w:t xml:space="preserve"> This event took place dated 27 June 2019.</w:t>
      </w:r>
      <w:r w:rsidR="00DB09F3" w:rsidRPr="00AC157C">
        <w:rPr>
          <w:rFonts w:ascii="Times New Roman" w:hAnsi="Times New Roman" w:cs="Times New Roman"/>
          <w:sz w:val="24"/>
          <w:szCs w:val="24"/>
        </w:rPr>
        <w:t xml:space="preserve"> </w:t>
      </w:r>
      <w:r w:rsidR="0097005E" w:rsidRPr="00AC157C">
        <w:rPr>
          <w:rFonts w:ascii="Times New Roman" w:hAnsi="Times New Roman" w:cs="Times New Roman"/>
          <w:sz w:val="24"/>
          <w:szCs w:val="24"/>
        </w:rPr>
        <w:t>This event is subject to the revenue recognition aspect and AASB 1</w:t>
      </w:r>
      <w:r w:rsidR="00552E8C" w:rsidRPr="00AC157C">
        <w:rPr>
          <w:rFonts w:ascii="Times New Roman" w:hAnsi="Times New Roman" w:cs="Times New Roman"/>
          <w:sz w:val="24"/>
          <w:szCs w:val="24"/>
        </w:rPr>
        <w:t>18</w:t>
      </w:r>
      <w:r w:rsidR="0097005E" w:rsidRPr="00AC157C">
        <w:rPr>
          <w:rFonts w:ascii="Times New Roman" w:hAnsi="Times New Roman" w:cs="Times New Roman"/>
          <w:sz w:val="24"/>
          <w:szCs w:val="24"/>
        </w:rPr>
        <w:t xml:space="preserve"> is </w:t>
      </w:r>
      <w:r w:rsidR="005C64C3" w:rsidRPr="00AC157C">
        <w:rPr>
          <w:rFonts w:ascii="Times New Roman" w:hAnsi="Times New Roman" w:cs="Times New Roman"/>
          <w:sz w:val="24"/>
          <w:szCs w:val="24"/>
        </w:rPr>
        <w:t>applicable to it.</w:t>
      </w:r>
      <w:r w:rsidR="00552E8C" w:rsidRPr="00AC157C">
        <w:rPr>
          <w:rFonts w:ascii="Times New Roman" w:hAnsi="Times New Roman" w:cs="Times New Roman"/>
          <w:sz w:val="24"/>
          <w:szCs w:val="24"/>
        </w:rPr>
        <w:t xml:space="preserve"> </w:t>
      </w:r>
      <w:r w:rsidR="003837E6" w:rsidRPr="00AC157C">
        <w:rPr>
          <w:rFonts w:ascii="Times New Roman" w:hAnsi="Times New Roman" w:cs="Times New Roman"/>
          <w:sz w:val="24"/>
          <w:szCs w:val="24"/>
        </w:rPr>
        <w:t xml:space="preserve">Any amount is considered </w:t>
      </w:r>
      <w:r w:rsidR="00941517" w:rsidRPr="00AC157C">
        <w:rPr>
          <w:rFonts w:ascii="Times New Roman" w:hAnsi="Times New Roman" w:cs="Times New Roman"/>
          <w:sz w:val="24"/>
          <w:szCs w:val="24"/>
        </w:rPr>
        <w:t xml:space="preserve">as an income if it increases </w:t>
      </w:r>
      <w:r w:rsidR="001A57D1" w:rsidRPr="00AC157C">
        <w:rPr>
          <w:rFonts w:ascii="Times New Roman" w:hAnsi="Times New Roman" w:cs="Times New Roman"/>
          <w:sz w:val="24"/>
          <w:szCs w:val="24"/>
        </w:rPr>
        <w:t xml:space="preserve">economic </w:t>
      </w:r>
      <w:r w:rsidR="009E1CA0" w:rsidRPr="00AC157C">
        <w:rPr>
          <w:rFonts w:ascii="Times New Roman" w:hAnsi="Times New Roman" w:cs="Times New Roman"/>
          <w:sz w:val="24"/>
          <w:szCs w:val="24"/>
        </w:rPr>
        <w:t xml:space="preserve">benefits </w:t>
      </w:r>
      <w:r w:rsidR="00941517" w:rsidRPr="00AC157C">
        <w:rPr>
          <w:rFonts w:ascii="Times New Roman" w:hAnsi="Times New Roman" w:cs="Times New Roman"/>
          <w:sz w:val="24"/>
          <w:szCs w:val="24"/>
        </w:rPr>
        <w:t xml:space="preserve">during reporting period </w:t>
      </w:r>
      <w:r w:rsidR="00404FBB" w:rsidRPr="00AC157C">
        <w:rPr>
          <w:rFonts w:ascii="Times New Roman" w:hAnsi="Times New Roman" w:cs="Times New Roman"/>
          <w:sz w:val="24"/>
          <w:szCs w:val="24"/>
        </w:rPr>
        <w:t>with some inflows or increase in asset’s value.</w:t>
      </w:r>
      <w:r w:rsidR="00AA3B7D" w:rsidRPr="00AC157C">
        <w:rPr>
          <w:rFonts w:ascii="Times New Roman" w:hAnsi="Times New Roman" w:cs="Times New Roman"/>
          <w:sz w:val="24"/>
          <w:szCs w:val="24"/>
        </w:rPr>
        <w:t xml:space="preserve"> Revenue is that part of income that arises during ordinary business of organization.</w:t>
      </w:r>
      <w:r w:rsidR="009B0ADF" w:rsidRPr="00AC157C">
        <w:rPr>
          <w:rFonts w:ascii="Times New Roman" w:hAnsi="Times New Roman" w:cs="Times New Roman"/>
          <w:sz w:val="24"/>
          <w:szCs w:val="24"/>
        </w:rPr>
        <w:t xml:space="preserve"> Revenues come in many names, sales, fees, interest etc.</w:t>
      </w:r>
      <w:r w:rsidR="00D50E00" w:rsidRPr="00AC157C">
        <w:rPr>
          <w:rFonts w:ascii="Times New Roman" w:hAnsi="Times New Roman" w:cs="Times New Roman"/>
          <w:sz w:val="24"/>
          <w:szCs w:val="24"/>
        </w:rPr>
        <w:t xml:space="preserve"> </w:t>
      </w:r>
      <w:r w:rsidR="00F81B83" w:rsidRPr="00AC157C">
        <w:rPr>
          <w:rFonts w:ascii="Times New Roman" w:hAnsi="Times New Roman" w:cs="Times New Roman"/>
          <w:sz w:val="24"/>
          <w:szCs w:val="24"/>
        </w:rPr>
        <w:t xml:space="preserve">This standard </w:t>
      </w:r>
      <w:r w:rsidR="00911C1B" w:rsidRPr="00AC157C">
        <w:rPr>
          <w:rFonts w:ascii="Times New Roman" w:hAnsi="Times New Roman" w:cs="Times New Roman"/>
          <w:sz w:val="24"/>
          <w:szCs w:val="24"/>
        </w:rPr>
        <w:t xml:space="preserve">applies to all businesses which are </w:t>
      </w:r>
      <w:r w:rsidR="00743878" w:rsidRPr="00AC157C">
        <w:rPr>
          <w:rFonts w:ascii="Times New Roman" w:hAnsi="Times New Roman" w:cs="Times New Roman"/>
          <w:sz w:val="24"/>
          <w:szCs w:val="24"/>
        </w:rPr>
        <w:t>required to prepare their financial statements under corporation’s act.</w:t>
      </w:r>
      <w:r w:rsidR="007C0021" w:rsidRPr="00AC157C">
        <w:rPr>
          <w:rFonts w:ascii="Times New Roman" w:hAnsi="Times New Roman" w:cs="Times New Roman"/>
          <w:sz w:val="24"/>
          <w:szCs w:val="24"/>
        </w:rPr>
        <w:t xml:space="preserve"> This standard is </w:t>
      </w:r>
      <w:r w:rsidR="000E4EBC" w:rsidRPr="00AC157C">
        <w:rPr>
          <w:rFonts w:ascii="Times New Roman" w:hAnsi="Times New Roman" w:cs="Times New Roman"/>
          <w:sz w:val="24"/>
          <w:szCs w:val="24"/>
        </w:rPr>
        <w:t xml:space="preserve">applicable to the </w:t>
      </w:r>
      <w:r w:rsidR="00B86CB8" w:rsidRPr="00AC157C">
        <w:rPr>
          <w:rFonts w:ascii="Times New Roman" w:hAnsi="Times New Roman" w:cs="Times New Roman"/>
          <w:sz w:val="24"/>
          <w:szCs w:val="24"/>
        </w:rPr>
        <w:t>rendering of services which is done in this event.</w:t>
      </w:r>
      <w:r w:rsidR="00C12A2E" w:rsidRPr="00AC157C">
        <w:rPr>
          <w:rFonts w:ascii="Times New Roman" w:hAnsi="Times New Roman" w:cs="Times New Roman"/>
          <w:sz w:val="24"/>
          <w:szCs w:val="24"/>
        </w:rPr>
        <w:t xml:space="preserve"> Rendering of services </w:t>
      </w:r>
      <w:r w:rsidR="00D067FC" w:rsidRPr="00AC157C">
        <w:rPr>
          <w:rFonts w:ascii="Times New Roman" w:hAnsi="Times New Roman" w:cs="Times New Roman"/>
          <w:sz w:val="24"/>
          <w:szCs w:val="24"/>
        </w:rPr>
        <w:t xml:space="preserve">include </w:t>
      </w:r>
      <w:r w:rsidR="00D067FC" w:rsidRPr="00AC157C">
        <w:rPr>
          <w:rFonts w:ascii="Times New Roman" w:hAnsi="Times New Roman" w:cs="Times New Roman"/>
          <w:sz w:val="24"/>
          <w:szCs w:val="24"/>
        </w:rPr>
        <w:lastRenderedPageBreak/>
        <w:t xml:space="preserve">performance by an entity </w:t>
      </w:r>
      <w:r w:rsidR="00E802F0" w:rsidRPr="00AC157C">
        <w:rPr>
          <w:rFonts w:ascii="Times New Roman" w:hAnsi="Times New Roman" w:cs="Times New Roman"/>
          <w:sz w:val="24"/>
          <w:szCs w:val="24"/>
        </w:rPr>
        <w:t>of a contractually agreed task over a specific period of time.</w:t>
      </w:r>
      <w:r w:rsidR="00A606EA" w:rsidRPr="00AC157C">
        <w:rPr>
          <w:rFonts w:ascii="Times New Roman" w:hAnsi="Times New Roman" w:cs="Times New Roman"/>
          <w:sz w:val="24"/>
          <w:szCs w:val="24"/>
        </w:rPr>
        <w:t xml:space="preserve"> </w:t>
      </w:r>
      <w:r w:rsidR="008C5806" w:rsidRPr="00AC157C">
        <w:rPr>
          <w:rFonts w:ascii="Times New Roman" w:hAnsi="Times New Roman" w:cs="Times New Roman"/>
          <w:sz w:val="24"/>
          <w:szCs w:val="24"/>
        </w:rPr>
        <w:t xml:space="preserve">The contract or service under consideration </w:t>
      </w:r>
      <w:r w:rsidR="00875F43" w:rsidRPr="00AC157C">
        <w:rPr>
          <w:rFonts w:ascii="Times New Roman" w:hAnsi="Times New Roman" w:cs="Times New Roman"/>
          <w:sz w:val="24"/>
          <w:szCs w:val="24"/>
        </w:rPr>
        <w:t xml:space="preserve">relates to more than </w:t>
      </w:r>
      <w:r w:rsidR="00B607DD" w:rsidRPr="00AC157C">
        <w:rPr>
          <w:rFonts w:ascii="Times New Roman" w:hAnsi="Times New Roman" w:cs="Times New Roman"/>
          <w:sz w:val="24"/>
          <w:szCs w:val="24"/>
        </w:rPr>
        <w:t>one periods of financial reporting</w:t>
      </w:r>
      <w:r w:rsidR="00693C20" w:rsidRPr="00AC157C">
        <w:rPr>
          <w:rFonts w:ascii="Times New Roman" w:hAnsi="Times New Roman" w:cs="Times New Roman"/>
          <w:sz w:val="24"/>
          <w:szCs w:val="24"/>
        </w:rPr>
        <w:t>.</w:t>
      </w:r>
      <w:r w:rsidR="007951C8" w:rsidRPr="00AC157C">
        <w:rPr>
          <w:rFonts w:ascii="Times New Roman" w:hAnsi="Times New Roman" w:cs="Times New Roman"/>
          <w:sz w:val="24"/>
          <w:szCs w:val="24"/>
        </w:rPr>
        <w:t xml:space="preserve"> </w:t>
      </w:r>
    </w:p>
    <w:p w14:paraId="5688A8F3" w14:textId="50DB04F6" w:rsidR="00F306A8" w:rsidRPr="00CE3E5D" w:rsidRDefault="00746F8E" w:rsidP="00AC157C">
      <w:pPr>
        <w:spacing w:line="480" w:lineRule="auto"/>
        <w:rPr>
          <w:rFonts w:ascii="Times New Roman" w:hAnsi="Times New Roman" w:cs="Times New Roman"/>
          <w:b/>
          <w:i/>
          <w:sz w:val="24"/>
          <w:szCs w:val="24"/>
        </w:rPr>
      </w:pPr>
      <w:r w:rsidRPr="00AC157C">
        <w:rPr>
          <w:rFonts w:ascii="Times New Roman" w:hAnsi="Times New Roman" w:cs="Times New Roman"/>
          <w:sz w:val="24"/>
          <w:szCs w:val="24"/>
        </w:rPr>
        <w:t xml:space="preserve"> </w:t>
      </w:r>
      <w:r w:rsidR="00FA3056" w:rsidRPr="00CE3E5D">
        <w:rPr>
          <w:rFonts w:ascii="Times New Roman" w:hAnsi="Times New Roman" w:cs="Times New Roman"/>
          <w:b/>
          <w:i/>
          <w:sz w:val="24"/>
          <w:szCs w:val="24"/>
        </w:rPr>
        <w:t>AASB 118</w:t>
      </w:r>
    </w:p>
    <w:p w14:paraId="62D64326" w14:textId="2FAE7B92" w:rsidR="00FA3056" w:rsidRDefault="00FA3056"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r>
      <w:r w:rsidR="001B5CD0" w:rsidRPr="00AC157C">
        <w:rPr>
          <w:rFonts w:ascii="Times New Roman" w:hAnsi="Times New Roman" w:cs="Times New Roman"/>
          <w:sz w:val="24"/>
          <w:szCs w:val="24"/>
        </w:rPr>
        <w:t>Revenue will be measured at fair value of consideration received or receivable. The step taken by company will decrease its revenue and will affect its financial statements.</w:t>
      </w:r>
      <w:r w:rsidR="00B83D71" w:rsidRPr="00AC157C">
        <w:rPr>
          <w:rFonts w:ascii="Times New Roman" w:hAnsi="Times New Roman" w:cs="Times New Roman"/>
          <w:sz w:val="24"/>
          <w:szCs w:val="24"/>
        </w:rPr>
        <w:t xml:space="preserve">  The recognition criteria for each transaction </w:t>
      </w:r>
      <w:r w:rsidR="00BF1609" w:rsidRPr="00AC157C">
        <w:rPr>
          <w:rFonts w:ascii="Times New Roman" w:hAnsi="Times New Roman" w:cs="Times New Roman"/>
          <w:sz w:val="24"/>
          <w:szCs w:val="24"/>
        </w:rPr>
        <w:t>is applied separately to reflect substance of each transaction.</w:t>
      </w:r>
    </w:p>
    <w:p w14:paraId="42A5E8D7" w14:textId="71E255E5" w:rsidR="00911467" w:rsidRPr="00CE3E5D" w:rsidRDefault="00911467"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Effects of Misstatement</w:t>
      </w:r>
    </w:p>
    <w:p w14:paraId="1CC7EBD0" w14:textId="5BB12AEF" w:rsidR="00B21510" w:rsidRDefault="00B21510"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t xml:space="preserve">Company’s income statement will be affected if it does not </w:t>
      </w:r>
      <w:r w:rsidR="00492E9B" w:rsidRPr="00AC157C">
        <w:rPr>
          <w:rFonts w:ascii="Times New Roman" w:hAnsi="Times New Roman" w:cs="Times New Roman"/>
          <w:sz w:val="24"/>
          <w:szCs w:val="24"/>
        </w:rPr>
        <w:t>include this event appropriately because revenues have decreased as a result of this event. Some of these fees may have been receivable, if company decides to write it off, this event will also affect its balance sheet.</w:t>
      </w:r>
      <w:r w:rsidR="001E6588" w:rsidRPr="00AC157C">
        <w:rPr>
          <w:rFonts w:ascii="Times New Roman" w:hAnsi="Times New Roman" w:cs="Times New Roman"/>
          <w:sz w:val="24"/>
          <w:szCs w:val="24"/>
        </w:rPr>
        <w:t xml:space="preserve"> </w:t>
      </w:r>
    </w:p>
    <w:p w14:paraId="13063193" w14:textId="6FA87FC9" w:rsidR="00911467" w:rsidRPr="00CE3E5D" w:rsidRDefault="00911467" w:rsidP="00AC157C">
      <w:pPr>
        <w:spacing w:line="480" w:lineRule="auto"/>
        <w:rPr>
          <w:rFonts w:ascii="Times New Roman" w:hAnsi="Times New Roman" w:cs="Times New Roman"/>
          <w:b/>
          <w:i/>
          <w:sz w:val="24"/>
          <w:szCs w:val="24"/>
        </w:rPr>
      </w:pPr>
      <w:r w:rsidRPr="00CE3E5D">
        <w:rPr>
          <w:rFonts w:ascii="Times New Roman" w:hAnsi="Times New Roman" w:cs="Times New Roman"/>
          <w:b/>
          <w:i/>
          <w:sz w:val="24"/>
          <w:szCs w:val="24"/>
        </w:rPr>
        <w:t>Balance related audit principle</w:t>
      </w:r>
    </w:p>
    <w:p w14:paraId="361629F6" w14:textId="3CB64670" w:rsidR="00CE3E5D" w:rsidRDefault="008167ED" w:rsidP="00AC157C">
      <w:pPr>
        <w:spacing w:line="480" w:lineRule="auto"/>
        <w:rPr>
          <w:rFonts w:ascii="Times New Roman" w:hAnsi="Times New Roman" w:cs="Times New Roman"/>
          <w:sz w:val="24"/>
          <w:szCs w:val="24"/>
        </w:rPr>
      </w:pPr>
      <w:r w:rsidRPr="00AC157C">
        <w:rPr>
          <w:rFonts w:ascii="Times New Roman" w:hAnsi="Times New Roman" w:cs="Times New Roman"/>
          <w:sz w:val="24"/>
          <w:szCs w:val="24"/>
        </w:rPr>
        <w:tab/>
        <w:t>Auditors will apply completeness as their balance related principle to check whether the above event has been accounted for completely or not. This will require a thorough analysis of the revenue and assets section of financial statements.</w:t>
      </w:r>
    </w:p>
    <w:p w14:paraId="37B8FD92" w14:textId="77777777" w:rsidR="00CE3E5D" w:rsidRDefault="00CE3E5D">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468667215"/>
        <w:docPartObj>
          <w:docPartGallery w:val="Bibliographies"/>
          <w:docPartUnique/>
        </w:docPartObj>
      </w:sdtPr>
      <w:sdtEndPr/>
      <w:sdtContent>
        <w:p w14:paraId="66A4D19B" w14:textId="51B6EF58" w:rsidR="00CE3E5D" w:rsidRPr="00CE3E5D" w:rsidRDefault="00CE3E5D" w:rsidP="00777473">
          <w:pPr>
            <w:pStyle w:val="Heading1"/>
            <w:spacing w:line="480" w:lineRule="auto"/>
            <w:jc w:val="center"/>
            <w:rPr>
              <w:rFonts w:ascii="Times New Roman" w:hAnsi="Times New Roman" w:cs="Times New Roman"/>
              <w:b/>
              <w:color w:val="auto"/>
              <w:sz w:val="24"/>
              <w:szCs w:val="24"/>
            </w:rPr>
          </w:pPr>
          <w:r w:rsidRPr="00CE3E5D">
            <w:rPr>
              <w:rFonts w:ascii="Times New Roman" w:hAnsi="Times New Roman" w:cs="Times New Roman"/>
              <w:b/>
              <w:color w:val="auto"/>
              <w:sz w:val="24"/>
              <w:szCs w:val="24"/>
            </w:rPr>
            <w:t>Bibliography</w:t>
          </w:r>
        </w:p>
        <w:sdt>
          <w:sdtPr>
            <w:id w:val="111145805"/>
            <w:bibliography/>
          </w:sdtPr>
          <w:sdtEndPr/>
          <w:sdtContent>
            <w:p w14:paraId="60F04C1B" w14:textId="77777777" w:rsidR="00CE3E5D" w:rsidRPr="00CE3E5D" w:rsidRDefault="00CE3E5D" w:rsidP="00777473">
              <w:pPr>
                <w:pStyle w:val="Bibliography"/>
                <w:spacing w:line="480" w:lineRule="auto"/>
                <w:rPr>
                  <w:rFonts w:ascii="Times New Roman" w:hAnsi="Times New Roman" w:cs="Times New Roman"/>
                  <w:noProof/>
                  <w:sz w:val="28"/>
                  <w:szCs w:val="24"/>
                </w:rPr>
              </w:pPr>
              <w:r w:rsidRPr="00CE3E5D">
                <w:rPr>
                  <w:rFonts w:ascii="Times New Roman" w:hAnsi="Times New Roman" w:cs="Times New Roman"/>
                  <w:sz w:val="24"/>
                </w:rPr>
                <w:fldChar w:fldCharType="begin"/>
              </w:r>
              <w:r w:rsidRPr="00CE3E5D">
                <w:rPr>
                  <w:rFonts w:ascii="Times New Roman" w:hAnsi="Times New Roman" w:cs="Times New Roman"/>
                  <w:sz w:val="24"/>
                </w:rPr>
                <w:instrText xml:space="preserve"> BIBLIOGRAPHY </w:instrText>
              </w:r>
              <w:r w:rsidRPr="00CE3E5D">
                <w:rPr>
                  <w:rFonts w:ascii="Times New Roman" w:hAnsi="Times New Roman" w:cs="Times New Roman"/>
                  <w:sz w:val="24"/>
                </w:rPr>
                <w:fldChar w:fldCharType="separate"/>
              </w:r>
              <w:r w:rsidRPr="00CE3E5D">
                <w:rPr>
                  <w:rFonts w:ascii="Times New Roman" w:hAnsi="Times New Roman" w:cs="Times New Roman"/>
                  <w:noProof/>
                  <w:sz w:val="24"/>
                </w:rPr>
                <w:t xml:space="preserve">aasb.gov.au, 2010. </w:t>
              </w:r>
              <w:r w:rsidRPr="00CE3E5D">
                <w:rPr>
                  <w:rFonts w:ascii="Times New Roman" w:hAnsi="Times New Roman" w:cs="Times New Roman"/>
                  <w:i/>
                  <w:iCs/>
                  <w:noProof/>
                  <w:sz w:val="24"/>
                </w:rPr>
                <w:t xml:space="preserve">https://www.aasb.gov.au/admin/file/content105/c9/AASB139_07-04_COMPjun10_07-10.pdf.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https://www.aasb.gov.au/admin/file/content105/c9/AASB139_07-04_COMPjun10_07-10.pdf</w:t>
              </w:r>
              <w:r w:rsidRPr="00CE3E5D">
                <w:rPr>
                  <w:rFonts w:ascii="Times New Roman" w:hAnsi="Times New Roman" w:cs="Times New Roman"/>
                  <w:noProof/>
                  <w:sz w:val="24"/>
                </w:rPr>
                <w:br/>
                <w:t>[Accessed 2 October 2019].</w:t>
              </w:r>
            </w:p>
            <w:p w14:paraId="7DA4956D"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aasb.gov.au, 2015. </w:t>
              </w:r>
              <w:r w:rsidRPr="00CE3E5D">
                <w:rPr>
                  <w:rFonts w:ascii="Times New Roman" w:hAnsi="Times New Roman" w:cs="Times New Roman"/>
                  <w:i/>
                  <w:iCs/>
                  <w:noProof/>
                  <w:sz w:val="24"/>
                </w:rPr>
                <w:t xml:space="preserve">https://www.aasb.gov.au/admin/file/content105/c9/AASB3_08-15.pdf.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https://www.aasb.gov.au/admin/file/content105/c9/AASB3_08-15.pdf</w:t>
              </w:r>
              <w:r w:rsidRPr="00CE3E5D">
                <w:rPr>
                  <w:rFonts w:ascii="Times New Roman" w:hAnsi="Times New Roman" w:cs="Times New Roman"/>
                  <w:noProof/>
                  <w:sz w:val="24"/>
                </w:rPr>
                <w:br/>
                <w:t>[Accessed 2 October 2019].</w:t>
              </w:r>
            </w:p>
            <w:p w14:paraId="2E056CD6"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aasb.gov.au, 2015. </w:t>
              </w:r>
              <w:r w:rsidRPr="00CE3E5D">
                <w:rPr>
                  <w:rFonts w:ascii="Times New Roman" w:hAnsi="Times New Roman" w:cs="Times New Roman"/>
                  <w:i/>
                  <w:iCs/>
                  <w:noProof/>
                  <w:sz w:val="24"/>
                </w:rPr>
                <w:t xml:space="preserve">https://www.aasb.gov.au/admin/file/content105/c9/AASB3_08-15.pdf.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https://www.aasb.gov.au/admin/file/content105/c9/AASB3_08-15.pdf</w:t>
              </w:r>
              <w:r w:rsidRPr="00CE3E5D">
                <w:rPr>
                  <w:rFonts w:ascii="Times New Roman" w:hAnsi="Times New Roman" w:cs="Times New Roman"/>
                  <w:noProof/>
                  <w:sz w:val="24"/>
                </w:rPr>
                <w:br/>
                <w:t>[Accessed 2 October 2019].</w:t>
              </w:r>
            </w:p>
            <w:p w14:paraId="212D197F"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aasb.gov.au, 2016. </w:t>
              </w:r>
              <w:r w:rsidRPr="00CE3E5D">
                <w:rPr>
                  <w:rFonts w:ascii="Times New Roman" w:hAnsi="Times New Roman" w:cs="Times New Roman"/>
                  <w:i/>
                  <w:iCs/>
                  <w:noProof/>
                  <w:sz w:val="24"/>
                </w:rPr>
                <w:t xml:space="preserve">https://www.aasb.gov.au/admin/file/content105/c9/AASB10_07-15_COMPdec15_01-18.pdf.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https://www.aasb.gov.au/admin/file/content105/c9/AASB10_07-15_COMPdec15_01-18.pdf</w:t>
              </w:r>
              <w:r w:rsidRPr="00CE3E5D">
                <w:rPr>
                  <w:rFonts w:ascii="Times New Roman" w:hAnsi="Times New Roman" w:cs="Times New Roman"/>
                  <w:noProof/>
                  <w:sz w:val="24"/>
                </w:rPr>
                <w:br/>
                <w:t>[Accessed 2 October 2019].</w:t>
              </w:r>
            </w:p>
            <w:p w14:paraId="5A37E91D"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Day, R. &amp; Psaros, J., 1996. A Study of Accountants' Judgments With Respect to the Provision of Consolidated Financial Statements. </w:t>
              </w:r>
              <w:r w:rsidRPr="00CE3E5D">
                <w:rPr>
                  <w:rFonts w:ascii="Times New Roman" w:hAnsi="Times New Roman" w:cs="Times New Roman"/>
                  <w:i/>
                  <w:iCs/>
                  <w:noProof/>
                  <w:sz w:val="24"/>
                </w:rPr>
                <w:t xml:space="preserve">Abacus, </w:t>
              </w:r>
              <w:r w:rsidRPr="00CE3E5D">
                <w:rPr>
                  <w:rFonts w:ascii="Times New Roman" w:hAnsi="Times New Roman" w:cs="Times New Roman"/>
                  <w:noProof/>
                  <w:sz w:val="24"/>
                </w:rPr>
                <w:t>32(1), pp. 62-80.</w:t>
              </w:r>
            </w:p>
            <w:p w14:paraId="2DF6DE6B"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lastRenderedPageBreak/>
                <w:t xml:space="preserve">facweb, n.d. </w:t>
              </w:r>
              <w:r w:rsidRPr="00CE3E5D">
                <w:rPr>
                  <w:rFonts w:ascii="Times New Roman" w:hAnsi="Times New Roman" w:cs="Times New Roman"/>
                  <w:i/>
                  <w:iCs/>
                  <w:noProof/>
                  <w:sz w:val="24"/>
                </w:rPr>
                <w:t xml:space="preserve">http://facweb.northseattle.edu/pbouker/instructor/ACC275_Folder/Lesson%206--Audit%20Responsibilities%20and%20Objectives.htm.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http://facweb.northseattle.edu/pbouker/instructor/ACC275_Folder/Lesson%206--Audit%20Responsibilities%20and%20Objectives.htm</w:t>
              </w:r>
              <w:r w:rsidRPr="00CE3E5D">
                <w:rPr>
                  <w:rFonts w:ascii="Times New Roman" w:hAnsi="Times New Roman" w:cs="Times New Roman"/>
                  <w:noProof/>
                  <w:sz w:val="24"/>
                </w:rPr>
                <w:br/>
                <w:t>[Accessed 2 October 2019].</w:t>
              </w:r>
            </w:p>
            <w:p w14:paraId="72BF8363"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Fleeting, P., 2019. </w:t>
              </w:r>
              <w:r w:rsidRPr="00CE3E5D">
                <w:rPr>
                  <w:rFonts w:ascii="Times New Roman" w:hAnsi="Times New Roman" w:cs="Times New Roman"/>
                  <w:i/>
                  <w:iCs/>
                  <w:noProof/>
                  <w:sz w:val="24"/>
                </w:rPr>
                <w:t xml:space="preserve">https://mozo.com.au/credit-cards/articles/macquarie-bank-bids-farewell-to-international-transaction-fees-on-credit-cards.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https://mozo.com.au/credit-cards/articles/macquarie-bank-bids-farewell-to-international-transaction-fees-on-credit-cards</w:t>
              </w:r>
              <w:r w:rsidRPr="00CE3E5D">
                <w:rPr>
                  <w:rFonts w:ascii="Times New Roman" w:hAnsi="Times New Roman" w:cs="Times New Roman"/>
                  <w:noProof/>
                  <w:sz w:val="24"/>
                </w:rPr>
                <w:br/>
                <w:t>[Accessed 2 October 2019].</w:t>
              </w:r>
            </w:p>
            <w:p w14:paraId="382068F9"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Gallagher, P., 2019. </w:t>
              </w:r>
              <w:r w:rsidRPr="00CE3E5D">
                <w:rPr>
                  <w:rFonts w:ascii="Times New Roman" w:hAnsi="Times New Roman" w:cs="Times New Roman"/>
                  <w:i/>
                  <w:iCs/>
                  <w:noProof/>
                  <w:sz w:val="24"/>
                </w:rPr>
                <w:t xml:space="preserve">https://www.mirafunds.com/au/en/footer/press/macquarie-infrastructure-and-real-assets-agrees-to-acquire-bard-offshore-1.html.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https://www.mirafunds.com/au/en/footer/press/macquarie-infrastructure-and-real-assets-agrees-to-acquire-bard-offshore-1.html</w:t>
              </w:r>
              <w:r w:rsidRPr="00CE3E5D">
                <w:rPr>
                  <w:rFonts w:ascii="Times New Roman" w:hAnsi="Times New Roman" w:cs="Times New Roman"/>
                  <w:noProof/>
                  <w:sz w:val="24"/>
                </w:rPr>
                <w:br/>
                <w:t>[Accessed 2 October 2019].</w:t>
              </w:r>
            </w:p>
            <w:p w14:paraId="4E67E39C"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I.Lessambo, F., 2018. Financial Statements’ Audit. In: </w:t>
              </w:r>
              <w:r w:rsidRPr="00CE3E5D">
                <w:rPr>
                  <w:rFonts w:ascii="Times New Roman" w:hAnsi="Times New Roman" w:cs="Times New Roman"/>
                  <w:i/>
                  <w:iCs/>
                  <w:noProof/>
                  <w:sz w:val="24"/>
                </w:rPr>
                <w:t xml:space="preserve">Auditing,assurance services and forensics. </w:t>
              </w:r>
              <w:r w:rsidRPr="00CE3E5D">
                <w:rPr>
                  <w:rFonts w:ascii="Times New Roman" w:hAnsi="Times New Roman" w:cs="Times New Roman"/>
                  <w:noProof/>
                  <w:sz w:val="24"/>
                </w:rPr>
                <w:t>s.l.:Springer, pp. 289-307.</w:t>
              </w:r>
            </w:p>
            <w:p w14:paraId="0293B8A2" w14:textId="77777777" w:rsidR="00CE3E5D" w:rsidRPr="00CE3E5D" w:rsidRDefault="00CE3E5D" w:rsidP="00777473">
              <w:pPr>
                <w:pStyle w:val="Bibliography"/>
                <w:spacing w:line="480" w:lineRule="auto"/>
                <w:rPr>
                  <w:rFonts w:ascii="Times New Roman" w:hAnsi="Times New Roman" w:cs="Times New Roman"/>
                  <w:noProof/>
                  <w:sz w:val="24"/>
                </w:rPr>
              </w:pPr>
              <w:r w:rsidRPr="00CE3E5D">
                <w:rPr>
                  <w:rFonts w:ascii="Times New Roman" w:hAnsi="Times New Roman" w:cs="Times New Roman"/>
                  <w:noProof/>
                  <w:sz w:val="24"/>
                </w:rPr>
                <w:t xml:space="preserve">ifrs.org, 2019. </w:t>
              </w:r>
              <w:r w:rsidRPr="00CE3E5D">
                <w:rPr>
                  <w:rFonts w:ascii="Times New Roman" w:hAnsi="Times New Roman" w:cs="Times New Roman"/>
                  <w:i/>
                  <w:iCs/>
                  <w:noProof/>
                  <w:sz w:val="24"/>
                </w:rPr>
                <w:t xml:space="preserve">https://www.ifrs.org/issued-standards/list-of-standards/ifrs-9-financial-instruments/. </w:t>
              </w:r>
              <w:r w:rsidRPr="00CE3E5D">
                <w:rPr>
                  <w:rFonts w:ascii="Times New Roman" w:hAnsi="Times New Roman" w:cs="Times New Roman"/>
                  <w:noProof/>
                  <w:sz w:val="24"/>
                </w:rPr>
                <w:t xml:space="preserve">[Online] </w:t>
              </w:r>
              <w:r w:rsidRPr="00CE3E5D">
                <w:rPr>
                  <w:rFonts w:ascii="Times New Roman" w:hAnsi="Times New Roman" w:cs="Times New Roman"/>
                  <w:noProof/>
                  <w:sz w:val="24"/>
                </w:rPr>
                <w:br/>
                <w:t xml:space="preserve">Available at: </w:t>
              </w:r>
              <w:r w:rsidRPr="00CE3E5D">
                <w:rPr>
                  <w:rFonts w:ascii="Times New Roman" w:hAnsi="Times New Roman" w:cs="Times New Roman"/>
                  <w:noProof/>
                  <w:sz w:val="24"/>
                  <w:u w:val="single"/>
                </w:rPr>
                <w:t>https://www.ifrs.org/issued-standards/list-of-standards/ifrs-9-financial-instruments/</w:t>
              </w:r>
              <w:r w:rsidRPr="00CE3E5D">
                <w:rPr>
                  <w:rFonts w:ascii="Times New Roman" w:hAnsi="Times New Roman" w:cs="Times New Roman"/>
                  <w:noProof/>
                  <w:sz w:val="24"/>
                </w:rPr>
                <w:br/>
                <w:t>[Accessed 2 October 2019].</w:t>
              </w:r>
            </w:p>
            <w:p w14:paraId="5C0A0B09" w14:textId="781ED3F9" w:rsidR="00CE3E5D" w:rsidRDefault="00CE3E5D" w:rsidP="00777473">
              <w:pPr>
                <w:spacing w:line="480" w:lineRule="auto"/>
              </w:pPr>
              <w:r w:rsidRPr="00CE3E5D">
                <w:rPr>
                  <w:rFonts w:ascii="Times New Roman" w:hAnsi="Times New Roman" w:cs="Times New Roman"/>
                  <w:b/>
                  <w:bCs/>
                  <w:noProof/>
                  <w:sz w:val="24"/>
                </w:rPr>
                <w:fldChar w:fldCharType="end"/>
              </w:r>
            </w:p>
          </w:sdtContent>
        </w:sdt>
      </w:sdtContent>
    </w:sdt>
    <w:p w14:paraId="3FC67D00" w14:textId="77777777" w:rsidR="008167ED" w:rsidRPr="00AC157C" w:rsidRDefault="008167ED" w:rsidP="00AC157C">
      <w:pPr>
        <w:spacing w:line="480" w:lineRule="auto"/>
        <w:rPr>
          <w:rFonts w:ascii="Times New Roman" w:hAnsi="Times New Roman" w:cs="Times New Roman"/>
          <w:sz w:val="24"/>
          <w:szCs w:val="24"/>
        </w:rPr>
      </w:pPr>
    </w:p>
    <w:sectPr w:rsidR="008167ED" w:rsidRPr="00AC157C" w:rsidSect="00E60303">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500E" w14:textId="77777777" w:rsidR="00EF77CB" w:rsidRDefault="00EF77CB" w:rsidP="001F6A7B">
      <w:pPr>
        <w:spacing w:after="0" w:line="240" w:lineRule="auto"/>
      </w:pPr>
      <w:r>
        <w:separator/>
      </w:r>
    </w:p>
  </w:endnote>
  <w:endnote w:type="continuationSeparator" w:id="0">
    <w:p w14:paraId="3327B9BB" w14:textId="77777777" w:rsidR="00EF77CB" w:rsidRDefault="00EF77CB" w:rsidP="001F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1BC2" w14:textId="77777777" w:rsidR="00EF77CB" w:rsidRDefault="00EF77CB" w:rsidP="001F6A7B">
      <w:pPr>
        <w:spacing w:after="0" w:line="240" w:lineRule="auto"/>
      </w:pPr>
      <w:r>
        <w:separator/>
      </w:r>
    </w:p>
  </w:footnote>
  <w:footnote w:type="continuationSeparator" w:id="0">
    <w:p w14:paraId="0F0AC2C5" w14:textId="77777777" w:rsidR="00EF77CB" w:rsidRDefault="00EF77CB" w:rsidP="001F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F204" w14:textId="39C208AB" w:rsidR="00E60303" w:rsidRDefault="00E60303">
    <w:pPr>
      <w:pStyle w:val="Header"/>
      <w:jc w:val="right"/>
    </w:pPr>
    <w:r w:rsidRPr="00E60303">
      <w:rPr>
        <w:rFonts w:ascii="Times New Roman" w:hAnsi="Times New Roman" w:cs="Times New Roman"/>
        <w:sz w:val="24"/>
      </w:rPr>
      <w:t xml:space="preserve"> Audit principles</w:t>
    </w:r>
    <w:r w:rsidRPr="00E60303">
      <w:rPr>
        <w:sz w:val="24"/>
      </w:rPr>
      <w:t xml:space="preserve"> </w:t>
    </w:r>
    <w:sdt>
      <w:sdtPr>
        <w:id w:val="-11751074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2575">
          <w:rPr>
            <w:noProof/>
          </w:rPr>
          <w:t>12</w:t>
        </w:r>
        <w:r>
          <w:rPr>
            <w:noProof/>
          </w:rPr>
          <w:fldChar w:fldCharType="end"/>
        </w:r>
      </w:sdtContent>
    </w:sdt>
  </w:p>
  <w:p w14:paraId="614B449A" w14:textId="77777777" w:rsidR="001F6A7B" w:rsidRDefault="001F6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10"/>
    <w:rsid w:val="00006727"/>
    <w:rsid w:val="00065CB4"/>
    <w:rsid w:val="00080F7F"/>
    <w:rsid w:val="00097D45"/>
    <w:rsid w:val="000D12A6"/>
    <w:rsid w:val="000D75DB"/>
    <w:rsid w:val="000E4EBC"/>
    <w:rsid w:val="0010516A"/>
    <w:rsid w:val="0012632A"/>
    <w:rsid w:val="001375EE"/>
    <w:rsid w:val="0016059E"/>
    <w:rsid w:val="0018269A"/>
    <w:rsid w:val="00184947"/>
    <w:rsid w:val="00185E77"/>
    <w:rsid w:val="001A2487"/>
    <w:rsid w:val="001A2DA8"/>
    <w:rsid w:val="001A57D1"/>
    <w:rsid w:val="001B5CD0"/>
    <w:rsid w:val="001D2575"/>
    <w:rsid w:val="001D3EB3"/>
    <w:rsid w:val="001E6588"/>
    <w:rsid w:val="001F6A7B"/>
    <w:rsid w:val="002251CE"/>
    <w:rsid w:val="00237DBC"/>
    <w:rsid w:val="002455EA"/>
    <w:rsid w:val="00247D10"/>
    <w:rsid w:val="0025140C"/>
    <w:rsid w:val="00252E1A"/>
    <w:rsid w:val="00253787"/>
    <w:rsid w:val="00253D90"/>
    <w:rsid w:val="0025445B"/>
    <w:rsid w:val="00255C99"/>
    <w:rsid w:val="002625D3"/>
    <w:rsid w:val="00267F11"/>
    <w:rsid w:val="00277D51"/>
    <w:rsid w:val="00284CDC"/>
    <w:rsid w:val="002A5423"/>
    <w:rsid w:val="002C0C0F"/>
    <w:rsid w:val="002C694C"/>
    <w:rsid w:val="002E7660"/>
    <w:rsid w:val="002F754C"/>
    <w:rsid w:val="0030529A"/>
    <w:rsid w:val="003268B3"/>
    <w:rsid w:val="00371EE2"/>
    <w:rsid w:val="003837E6"/>
    <w:rsid w:val="0038788B"/>
    <w:rsid w:val="003A76AC"/>
    <w:rsid w:val="003B0112"/>
    <w:rsid w:val="003C55F2"/>
    <w:rsid w:val="003D031A"/>
    <w:rsid w:val="003F1C31"/>
    <w:rsid w:val="00404FBB"/>
    <w:rsid w:val="00406DBA"/>
    <w:rsid w:val="00407CE8"/>
    <w:rsid w:val="004309DB"/>
    <w:rsid w:val="00492E9B"/>
    <w:rsid w:val="004B0BF4"/>
    <w:rsid w:val="004B7696"/>
    <w:rsid w:val="00523D28"/>
    <w:rsid w:val="005344E8"/>
    <w:rsid w:val="005448F2"/>
    <w:rsid w:val="00552E8C"/>
    <w:rsid w:val="00575A1E"/>
    <w:rsid w:val="0059262E"/>
    <w:rsid w:val="0059423C"/>
    <w:rsid w:val="005C64C3"/>
    <w:rsid w:val="005D0D88"/>
    <w:rsid w:val="005D5BEA"/>
    <w:rsid w:val="005D624D"/>
    <w:rsid w:val="005E12A7"/>
    <w:rsid w:val="005E476F"/>
    <w:rsid w:val="005F7909"/>
    <w:rsid w:val="00631486"/>
    <w:rsid w:val="0063305D"/>
    <w:rsid w:val="0067097D"/>
    <w:rsid w:val="006753EA"/>
    <w:rsid w:val="00684E9B"/>
    <w:rsid w:val="00693C20"/>
    <w:rsid w:val="006C0186"/>
    <w:rsid w:val="006D616F"/>
    <w:rsid w:val="00743322"/>
    <w:rsid w:val="00743878"/>
    <w:rsid w:val="00746F8E"/>
    <w:rsid w:val="00771718"/>
    <w:rsid w:val="0077596A"/>
    <w:rsid w:val="00777473"/>
    <w:rsid w:val="007938E3"/>
    <w:rsid w:val="007951C8"/>
    <w:rsid w:val="007B3864"/>
    <w:rsid w:val="007C0021"/>
    <w:rsid w:val="007F078D"/>
    <w:rsid w:val="008167ED"/>
    <w:rsid w:val="00875F43"/>
    <w:rsid w:val="00895335"/>
    <w:rsid w:val="008B02D1"/>
    <w:rsid w:val="008C5806"/>
    <w:rsid w:val="008C5918"/>
    <w:rsid w:val="00911467"/>
    <w:rsid w:val="00911C1B"/>
    <w:rsid w:val="00941517"/>
    <w:rsid w:val="00952ACC"/>
    <w:rsid w:val="00954E5B"/>
    <w:rsid w:val="00956441"/>
    <w:rsid w:val="009608FA"/>
    <w:rsid w:val="0097005E"/>
    <w:rsid w:val="00977D2D"/>
    <w:rsid w:val="009A6DAF"/>
    <w:rsid w:val="009B0ADF"/>
    <w:rsid w:val="009D4302"/>
    <w:rsid w:val="009E1CA0"/>
    <w:rsid w:val="009F175A"/>
    <w:rsid w:val="00A20439"/>
    <w:rsid w:val="00A21199"/>
    <w:rsid w:val="00A476A1"/>
    <w:rsid w:val="00A606EA"/>
    <w:rsid w:val="00A83CD4"/>
    <w:rsid w:val="00A93139"/>
    <w:rsid w:val="00AA3B7D"/>
    <w:rsid w:val="00AC157C"/>
    <w:rsid w:val="00AC2DD7"/>
    <w:rsid w:val="00AD270A"/>
    <w:rsid w:val="00AD6E23"/>
    <w:rsid w:val="00B07E67"/>
    <w:rsid w:val="00B102E0"/>
    <w:rsid w:val="00B21510"/>
    <w:rsid w:val="00B607DD"/>
    <w:rsid w:val="00B60B57"/>
    <w:rsid w:val="00B66AE2"/>
    <w:rsid w:val="00B81E33"/>
    <w:rsid w:val="00B83D71"/>
    <w:rsid w:val="00B86CB8"/>
    <w:rsid w:val="00BB4752"/>
    <w:rsid w:val="00BC1DE0"/>
    <w:rsid w:val="00BD2284"/>
    <w:rsid w:val="00BE0374"/>
    <w:rsid w:val="00BE47CA"/>
    <w:rsid w:val="00BE79BC"/>
    <w:rsid w:val="00BF1609"/>
    <w:rsid w:val="00BF454B"/>
    <w:rsid w:val="00C0756E"/>
    <w:rsid w:val="00C12A2E"/>
    <w:rsid w:val="00C273A0"/>
    <w:rsid w:val="00C362F5"/>
    <w:rsid w:val="00C37EE8"/>
    <w:rsid w:val="00C42E66"/>
    <w:rsid w:val="00C43298"/>
    <w:rsid w:val="00C5117C"/>
    <w:rsid w:val="00C5503B"/>
    <w:rsid w:val="00C67B7F"/>
    <w:rsid w:val="00CA7D09"/>
    <w:rsid w:val="00CB33AC"/>
    <w:rsid w:val="00CC4870"/>
    <w:rsid w:val="00CE3E5D"/>
    <w:rsid w:val="00D067FC"/>
    <w:rsid w:val="00D4406E"/>
    <w:rsid w:val="00D50E00"/>
    <w:rsid w:val="00D61A9B"/>
    <w:rsid w:val="00D772BF"/>
    <w:rsid w:val="00D81329"/>
    <w:rsid w:val="00D82C74"/>
    <w:rsid w:val="00D9677E"/>
    <w:rsid w:val="00DB09F3"/>
    <w:rsid w:val="00DB4396"/>
    <w:rsid w:val="00DC19EB"/>
    <w:rsid w:val="00DC5A84"/>
    <w:rsid w:val="00DF3A6C"/>
    <w:rsid w:val="00E007DD"/>
    <w:rsid w:val="00E149D0"/>
    <w:rsid w:val="00E1626D"/>
    <w:rsid w:val="00E51C14"/>
    <w:rsid w:val="00E52CE8"/>
    <w:rsid w:val="00E57AF7"/>
    <w:rsid w:val="00E60303"/>
    <w:rsid w:val="00E802F0"/>
    <w:rsid w:val="00E812DB"/>
    <w:rsid w:val="00EF77CB"/>
    <w:rsid w:val="00F12D00"/>
    <w:rsid w:val="00F306A8"/>
    <w:rsid w:val="00F50AB4"/>
    <w:rsid w:val="00F50D58"/>
    <w:rsid w:val="00F65140"/>
    <w:rsid w:val="00F81B83"/>
    <w:rsid w:val="00FA3056"/>
    <w:rsid w:val="00FC4939"/>
    <w:rsid w:val="00FD5D80"/>
    <w:rsid w:val="00FE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0AD4"/>
  <w15:chartTrackingRefBased/>
  <w15:docId w15:val="{1F2227B5-1617-4DFA-BC7E-B707FC27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7B"/>
  </w:style>
  <w:style w:type="paragraph" w:styleId="Footer">
    <w:name w:val="footer"/>
    <w:basedOn w:val="Normal"/>
    <w:link w:val="FooterChar"/>
    <w:uiPriority w:val="99"/>
    <w:unhideWhenUsed/>
    <w:rsid w:val="001F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7B"/>
  </w:style>
  <w:style w:type="character" w:customStyle="1" w:styleId="Heading1Char">
    <w:name w:val="Heading 1 Char"/>
    <w:basedOn w:val="DefaultParagraphFont"/>
    <w:link w:val="Heading1"/>
    <w:uiPriority w:val="9"/>
    <w:rsid w:val="00CE3E5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E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057">
      <w:bodyDiv w:val="1"/>
      <w:marLeft w:val="0"/>
      <w:marRight w:val="0"/>
      <w:marTop w:val="0"/>
      <w:marBottom w:val="0"/>
      <w:divBdr>
        <w:top w:val="none" w:sz="0" w:space="0" w:color="auto"/>
        <w:left w:val="none" w:sz="0" w:space="0" w:color="auto"/>
        <w:bottom w:val="none" w:sz="0" w:space="0" w:color="auto"/>
        <w:right w:val="none" w:sz="0" w:space="0" w:color="auto"/>
      </w:divBdr>
    </w:div>
    <w:div w:id="940649461">
      <w:bodyDiv w:val="1"/>
      <w:marLeft w:val="0"/>
      <w:marRight w:val="0"/>
      <w:marTop w:val="0"/>
      <w:marBottom w:val="0"/>
      <w:divBdr>
        <w:top w:val="none" w:sz="0" w:space="0" w:color="auto"/>
        <w:left w:val="none" w:sz="0" w:space="0" w:color="auto"/>
        <w:bottom w:val="none" w:sz="0" w:space="0" w:color="auto"/>
        <w:right w:val="none" w:sz="0" w:space="0" w:color="auto"/>
      </w:divBdr>
    </w:div>
    <w:div w:id="1121992519">
      <w:bodyDiv w:val="1"/>
      <w:marLeft w:val="0"/>
      <w:marRight w:val="0"/>
      <w:marTop w:val="0"/>
      <w:marBottom w:val="0"/>
      <w:divBdr>
        <w:top w:val="none" w:sz="0" w:space="0" w:color="auto"/>
        <w:left w:val="none" w:sz="0" w:space="0" w:color="auto"/>
        <w:bottom w:val="none" w:sz="0" w:space="0" w:color="auto"/>
        <w:right w:val="none" w:sz="0" w:space="0" w:color="auto"/>
      </w:divBdr>
    </w:div>
    <w:div w:id="1202283473">
      <w:bodyDiv w:val="1"/>
      <w:marLeft w:val="0"/>
      <w:marRight w:val="0"/>
      <w:marTop w:val="0"/>
      <w:marBottom w:val="0"/>
      <w:divBdr>
        <w:top w:val="none" w:sz="0" w:space="0" w:color="auto"/>
        <w:left w:val="none" w:sz="0" w:space="0" w:color="auto"/>
        <w:bottom w:val="none" w:sz="0" w:space="0" w:color="auto"/>
        <w:right w:val="none" w:sz="0" w:space="0" w:color="auto"/>
      </w:divBdr>
    </w:div>
    <w:div w:id="1286544125">
      <w:bodyDiv w:val="1"/>
      <w:marLeft w:val="0"/>
      <w:marRight w:val="0"/>
      <w:marTop w:val="0"/>
      <w:marBottom w:val="0"/>
      <w:divBdr>
        <w:top w:val="none" w:sz="0" w:space="0" w:color="auto"/>
        <w:left w:val="none" w:sz="0" w:space="0" w:color="auto"/>
        <w:bottom w:val="none" w:sz="0" w:space="0" w:color="auto"/>
        <w:right w:val="none" w:sz="0" w:space="0" w:color="auto"/>
      </w:divBdr>
    </w:div>
    <w:div w:id="1462384265">
      <w:bodyDiv w:val="1"/>
      <w:marLeft w:val="0"/>
      <w:marRight w:val="0"/>
      <w:marTop w:val="0"/>
      <w:marBottom w:val="0"/>
      <w:divBdr>
        <w:top w:val="none" w:sz="0" w:space="0" w:color="auto"/>
        <w:left w:val="none" w:sz="0" w:space="0" w:color="auto"/>
        <w:bottom w:val="none" w:sz="0" w:space="0" w:color="auto"/>
        <w:right w:val="none" w:sz="0" w:space="0" w:color="auto"/>
      </w:divBdr>
    </w:div>
    <w:div w:id="1489979067">
      <w:bodyDiv w:val="1"/>
      <w:marLeft w:val="0"/>
      <w:marRight w:val="0"/>
      <w:marTop w:val="0"/>
      <w:marBottom w:val="0"/>
      <w:divBdr>
        <w:top w:val="none" w:sz="0" w:space="0" w:color="auto"/>
        <w:left w:val="none" w:sz="0" w:space="0" w:color="auto"/>
        <w:bottom w:val="none" w:sz="0" w:space="0" w:color="auto"/>
        <w:right w:val="none" w:sz="0" w:space="0" w:color="auto"/>
      </w:divBdr>
    </w:div>
    <w:div w:id="1579098394">
      <w:bodyDiv w:val="1"/>
      <w:marLeft w:val="0"/>
      <w:marRight w:val="0"/>
      <w:marTop w:val="0"/>
      <w:marBottom w:val="0"/>
      <w:divBdr>
        <w:top w:val="none" w:sz="0" w:space="0" w:color="auto"/>
        <w:left w:val="none" w:sz="0" w:space="0" w:color="auto"/>
        <w:bottom w:val="none" w:sz="0" w:space="0" w:color="auto"/>
        <w:right w:val="none" w:sz="0" w:space="0" w:color="auto"/>
      </w:divBdr>
    </w:div>
    <w:div w:id="1973905849">
      <w:bodyDiv w:val="1"/>
      <w:marLeft w:val="0"/>
      <w:marRight w:val="0"/>
      <w:marTop w:val="0"/>
      <w:marBottom w:val="0"/>
      <w:divBdr>
        <w:top w:val="none" w:sz="0" w:space="0" w:color="auto"/>
        <w:left w:val="none" w:sz="0" w:space="0" w:color="auto"/>
        <w:bottom w:val="none" w:sz="0" w:space="0" w:color="auto"/>
        <w:right w:val="none" w:sz="0" w:space="0" w:color="auto"/>
      </w:divBdr>
    </w:div>
    <w:div w:id="2034259788">
      <w:bodyDiv w:val="1"/>
      <w:marLeft w:val="0"/>
      <w:marRight w:val="0"/>
      <w:marTop w:val="0"/>
      <w:marBottom w:val="0"/>
      <w:divBdr>
        <w:top w:val="none" w:sz="0" w:space="0" w:color="auto"/>
        <w:left w:val="none" w:sz="0" w:space="0" w:color="auto"/>
        <w:bottom w:val="none" w:sz="0" w:space="0" w:color="auto"/>
        <w:right w:val="none" w:sz="0" w:space="0" w:color="auto"/>
      </w:divBdr>
    </w:div>
    <w:div w:id="2103721825">
      <w:bodyDiv w:val="1"/>
      <w:marLeft w:val="0"/>
      <w:marRight w:val="0"/>
      <w:marTop w:val="0"/>
      <w:marBottom w:val="0"/>
      <w:divBdr>
        <w:top w:val="none" w:sz="0" w:space="0" w:color="auto"/>
        <w:left w:val="none" w:sz="0" w:space="0" w:color="auto"/>
        <w:bottom w:val="none" w:sz="0" w:space="0" w:color="auto"/>
        <w:right w:val="none" w:sz="0" w:space="0" w:color="auto"/>
      </w:divBdr>
    </w:div>
    <w:div w:id="21271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ifr19</b:Tag>
    <b:SourceType>DocumentFromInternetSite</b:SourceType>
    <b:Guid>{D83304B9-CD01-4A73-93B8-AA6D6E7620AF}</b:Guid>
    <b:Title>https://www.ifrs.org/issued-standards/list-of-standards/ifrs-9-financial-instruments/</b:Title>
    <b:Year>2019</b:Year>
    <b:Author>
      <b:Author>
        <b:Corporate>ifrs.org</b:Corporate>
      </b:Author>
    </b:Author>
    <b:Month>September</b:Month>
    <b:Day>1</b:Day>
    <b:YearAccessed>2019</b:YearAccessed>
    <b:MonthAccessed>October</b:MonthAccessed>
    <b:DayAccessed>2</b:DayAccessed>
    <b:URL>https://www.ifrs.org/issued-standards/list-of-standards/ifrs-9-financial-instruments/</b:URL>
    <b:RefOrder>2</b:RefOrder>
  </b:Source>
  <b:Source>
    <b:Tag>aas15</b:Tag>
    <b:SourceType>DocumentFromInternetSite</b:SourceType>
    <b:Guid>{E336BDFA-ED0B-428D-AE46-A31225C0BFC8}</b:Guid>
    <b:Author>
      <b:Author>
        <b:Corporate>aasb.gov.au</b:Corporate>
      </b:Author>
    </b:Author>
    <b:Title>https://www.aasb.gov.au/admin/file/content105/c9/AASB3_08-15.pdf</b:Title>
    <b:Year>2015</b:Year>
    <b:Month>August</b:Month>
    <b:YearAccessed>2019</b:YearAccessed>
    <b:MonthAccessed>October</b:MonthAccessed>
    <b:DayAccessed>2</b:DayAccessed>
    <b:URL>https://www.aasb.gov.au/admin/file/content105/c9/AASB3_08-15.pdf</b:URL>
    <b:RefOrder>6</b:RefOrder>
  </b:Source>
  <b:Source>
    <b:Tag>fac19</b:Tag>
    <b:SourceType>DocumentFromInternetSite</b:SourceType>
    <b:Guid>{A941F80E-6DBC-4E47-831D-5DA569B59215}</b:Guid>
    <b:Author>
      <b:Author>
        <b:Corporate>facweb</b:Corporate>
      </b:Author>
    </b:Author>
    <b:Title>http://facweb.northseattle.edu/pbouker/instructor/ACC275_Folder/Lesson%206--Audit%20Responsibilities%20and%20Objectives.htm</b:Title>
    <b:YearAccessed>2019</b:YearAccessed>
    <b:MonthAccessed>October</b:MonthAccessed>
    <b:DayAccessed>2</b:DayAccessed>
    <b:URL>http://facweb.northseattle.edu/pbouker/instructor/ACC275_Folder/Lesson%206--Audit%20Responsibilities%20and%20Objectives.htm</b:URL>
    <b:RefOrder>5</b:RefOrder>
  </b:Source>
  <b:Source>
    <b:Tag>aas151</b:Tag>
    <b:SourceType>DocumentFromInternetSite</b:SourceType>
    <b:Guid>{78D1DA71-9C46-487B-9EBC-F1748694C48D}</b:Guid>
    <b:Author>
      <b:Author>
        <b:Corporate>aasb.gov.au</b:Corporate>
      </b:Author>
    </b:Author>
    <b:Title>https://www.aasb.gov.au/admin/file/content105/c9/AASB3_08-15.pdf</b:Title>
    <b:Year>2015</b:Year>
    <b:Month>August</b:Month>
    <b:YearAccessed>2019</b:YearAccessed>
    <b:MonthAccessed>October</b:MonthAccessed>
    <b:DayAccessed>2</b:DayAccessed>
    <b:URL>https://www.aasb.gov.au/admin/file/content105/c9/AASB3_08-15.pdf</b:URL>
    <b:RefOrder>7</b:RefOrder>
  </b:Source>
  <b:Source>
    <b:Tag>aas10</b:Tag>
    <b:SourceType>DocumentFromInternetSite</b:SourceType>
    <b:Guid>{E600232C-A561-4EB7-9754-312DC160918B}</b:Guid>
    <b:Author>
      <b:Author>
        <b:Corporate>aasb.gov.au</b:Corporate>
      </b:Author>
    </b:Author>
    <b:Title>https://www.aasb.gov.au/admin/file/content105/c9/AASB139_07-04_COMPjun10_07-10.pdf</b:Title>
    <b:Year>2010</b:Year>
    <b:Month>June</b:Month>
    <b:YearAccessed>2019</b:YearAccessed>
    <b:MonthAccessed>October</b:MonthAccessed>
    <b:DayAccessed>2</b:DayAccessed>
    <b:URL>https://www.aasb.gov.au/admin/file/content105/c9/AASB139_07-04_COMPjun10_07-10.pdf</b:URL>
    <b:RefOrder>1</b:RefOrder>
  </b:Source>
  <b:Source>
    <b:Tag>aas16</b:Tag>
    <b:SourceType>DocumentFromInternetSite</b:SourceType>
    <b:Guid>{1A7B23CF-BD05-4918-A682-067E1E4E60FE}</b:Guid>
    <b:Author>
      <b:Author>
        <b:Corporate>aasb.gov.au</b:Corporate>
      </b:Author>
    </b:Author>
    <b:Title>https://www.aasb.gov.au/admin/file/content105/c9/AASB10_07-15_COMPdec15_01-18.pdf</b:Title>
    <b:Year>2016</b:Year>
    <b:Month>February</b:Month>
    <b:Day>14</b:Day>
    <b:YearAccessed>2019</b:YearAccessed>
    <b:MonthAccessed>October</b:MonthAccessed>
    <b:DayAccessed>2</b:DayAccessed>
    <b:URL>https://www.aasb.gov.au/admin/file/content105/c9/AASB10_07-15_COMPdec15_01-18.pdf</b:URL>
    <b:RefOrder>3</b:RefOrder>
  </b:Source>
  <b:Source>
    <b:Tag>Ron96</b:Tag>
    <b:SourceType>JournalArticle</b:SourceType>
    <b:Guid>{3B378E96-1A7A-4BAD-8184-D439EF0495C9}</b:Guid>
    <b:Title>A Study of Accountants' Judgments With Respect to the Provision of Consolidated Financial Statements</b:Title>
    <b:Year>1996</b:Year>
    <b:Author>
      <b:Author>
        <b:NameList>
          <b:Person>
            <b:Last>Day</b:Last>
            <b:First>Ron</b:First>
          </b:Person>
          <b:Person>
            <b:Last>Psaros</b:Last>
            <b:First>Jim</b:First>
          </b:Person>
        </b:NameList>
      </b:Author>
    </b:Author>
    <b:JournalName>Abacus</b:JournalName>
    <b:Pages>62-80</b:Pages>
    <b:Volume>32</b:Volume>
    <b:Issue>1</b:Issue>
    <b:RefOrder>4</b:RefOrder>
  </b:Source>
  <b:Source>
    <b:Tag>ILe18</b:Tag>
    <b:SourceType>BookSection</b:SourceType>
    <b:Guid>{319CAF9E-6580-4CA2-B272-5C83DFE573BD}</b:Guid>
    <b:Author>
      <b:Author>
        <b:NameList>
          <b:Person>
            <b:Last>I.Lessambo</b:Last>
            <b:First>Felix</b:First>
          </b:Person>
        </b:NameList>
      </b:Author>
    </b:Author>
    <b:Title>Financial Statements’ Audit</b:Title>
    <b:JournalName>Auditing,Assurance Services and Forensics</b:JournalName>
    <b:Year>2018</b:Year>
    <b:Pages>289-307</b:Pages>
    <b:BookTitle>Auditing,assurance services and forensics</b:BookTitle>
    <b:Publisher>Springer</b:Publisher>
    <b:RefOrder>8</b:RefOrder>
  </b:Source>
  <b:Source>
    <b:Tag>Pat19</b:Tag>
    <b:SourceType>DocumentFromInternetSite</b:SourceType>
    <b:Guid>{D1FDB1D0-F33D-4556-937E-13279C69C6F7}</b:Guid>
    <b:Title>https://www.mirafunds.com/au/en/footer/press/macquarie-infrastructure-and-real-assets-agrees-to-acquire-bard-offshore-1.html</b:Title>
    <b:Year>2019</b:Year>
    <b:Author>
      <b:Author>
        <b:NameList>
          <b:Person>
            <b:Last>Gallagher</b:Last>
            <b:First>Patrick</b:First>
          </b:Person>
        </b:NameList>
      </b:Author>
    </b:Author>
    <b:Month>August</b:Month>
    <b:Day>7</b:Day>
    <b:YearAccessed>2019</b:YearAccessed>
    <b:MonthAccessed>October</b:MonthAccessed>
    <b:DayAccessed>2</b:DayAccessed>
    <b:URL>https://www.mirafunds.com/au/en/footer/press/macquarie-infrastructure-and-real-assets-agrees-to-acquire-bard-offshore-1.html</b:URL>
    <b:RefOrder>9</b:RefOrder>
  </b:Source>
  <b:Source>
    <b:Tag>Pol19</b:Tag>
    <b:SourceType>DocumentFromInternetSite</b:SourceType>
    <b:Guid>{D5BD2592-BDC8-4F7E-B48E-E09EF0FC3DCB}</b:Guid>
    <b:Author>
      <b:Author>
        <b:NameList>
          <b:Person>
            <b:Last>Fleeting</b:Last>
            <b:First>Polly</b:First>
          </b:Person>
        </b:NameList>
      </b:Author>
    </b:Author>
    <b:Title>https://mozo.com.au/credit-cards/articles/macquarie-bank-bids-farewell-to-international-transaction-fees-on-credit-cards</b:Title>
    <b:Year>2019</b:Year>
    <b:Month>June</b:Month>
    <b:Day>27</b:Day>
    <b:YearAccessed>2019</b:YearAccessed>
    <b:MonthAccessed>October</b:MonthAccessed>
    <b:DayAccessed>2</b:DayAccessed>
    <b:URL>https://mozo.com.au/credit-cards/articles/macquarie-bank-bids-farewell-to-international-transaction-fees-on-credit-cards</b:URL>
    <b:RefOrder>10</b:RefOrder>
  </b:Source>
</b:Sources>
</file>

<file path=customXml/itemProps1.xml><?xml version="1.0" encoding="utf-8"?>
<ds:datastoreItem xmlns:ds="http://schemas.openxmlformats.org/officeDocument/2006/customXml" ds:itemID="{9397AB3B-B66C-4A93-8D19-B4BF54A4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2019-10-02T06:47:00Z</dcterms:created>
  <dcterms:modified xsi:type="dcterms:W3CDTF">2019-10-02T06:47:00Z</dcterms:modified>
</cp:coreProperties>
</file>