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588" w:rsidRPr="005E13AA" w:rsidRDefault="00D63057" w:rsidP="005E13AA">
      <w:pPr>
        <w:spacing w:line="480" w:lineRule="auto"/>
        <w:rPr>
          <w:rFonts w:ascii="Times New Roman" w:hAnsi="Times New Roman" w:cs="Times New Roman"/>
          <w:sz w:val="24"/>
          <w:szCs w:val="24"/>
        </w:rPr>
      </w:pPr>
      <w:r w:rsidRPr="005E13AA">
        <w:rPr>
          <w:rFonts w:ascii="Times New Roman" w:hAnsi="Times New Roman" w:cs="Times New Roman"/>
          <w:sz w:val="24"/>
          <w:szCs w:val="24"/>
        </w:rPr>
        <w:t>Student</w:t>
      </w:r>
    </w:p>
    <w:p w:rsidR="00D63057" w:rsidRPr="005E13AA" w:rsidRDefault="00D63057" w:rsidP="005E13AA">
      <w:pPr>
        <w:spacing w:line="480" w:lineRule="auto"/>
        <w:rPr>
          <w:rFonts w:ascii="Times New Roman" w:hAnsi="Times New Roman" w:cs="Times New Roman"/>
          <w:sz w:val="24"/>
          <w:szCs w:val="24"/>
        </w:rPr>
      </w:pPr>
      <w:r w:rsidRPr="005E13AA">
        <w:rPr>
          <w:rFonts w:ascii="Times New Roman" w:hAnsi="Times New Roman" w:cs="Times New Roman"/>
          <w:sz w:val="24"/>
          <w:szCs w:val="24"/>
        </w:rPr>
        <w:t>Course</w:t>
      </w:r>
    </w:p>
    <w:p w:rsidR="00D63057" w:rsidRPr="005E13AA" w:rsidRDefault="00D63057" w:rsidP="005E13AA">
      <w:pPr>
        <w:spacing w:line="480" w:lineRule="auto"/>
        <w:rPr>
          <w:rFonts w:ascii="Times New Roman" w:hAnsi="Times New Roman" w:cs="Times New Roman"/>
          <w:sz w:val="24"/>
          <w:szCs w:val="24"/>
        </w:rPr>
      </w:pPr>
      <w:r w:rsidRPr="005E13AA">
        <w:rPr>
          <w:rFonts w:ascii="Times New Roman" w:hAnsi="Times New Roman" w:cs="Times New Roman"/>
          <w:sz w:val="24"/>
          <w:szCs w:val="24"/>
        </w:rPr>
        <w:t>Instructor</w:t>
      </w:r>
    </w:p>
    <w:p w:rsidR="00D63057" w:rsidRPr="005E13AA" w:rsidRDefault="00D63057" w:rsidP="005E13AA">
      <w:pPr>
        <w:spacing w:line="480" w:lineRule="auto"/>
        <w:rPr>
          <w:rFonts w:ascii="Times New Roman" w:hAnsi="Times New Roman" w:cs="Times New Roman"/>
          <w:sz w:val="24"/>
          <w:szCs w:val="24"/>
        </w:rPr>
      </w:pPr>
      <w:r w:rsidRPr="005E13AA">
        <w:rPr>
          <w:rFonts w:ascii="Times New Roman" w:hAnsi="Times New Roman" w:cs="Times New Roman"/>
          <w:sz w:val="24"/>
          <w:szCs w:val="24"/>
        </w:rPr>
        <w:t>Date</w:t>
      </w:r>
    </w:p>
    <w:p w:rsidR="003C4AF6" w:rsidRPr="005E13AA" w:rsidRDefault="00D63057" w:rsidP="005E13AA">
      <w:pPr>
        <w:spacing w:line="480" w:lineRule="auto"/>
        <w:jc w:val="center"/>
        <w:rPr>
          <w:rFonts w:ascii="Times New Roman" w:hAnsi="Times New Roman" w:cs="Times New Roman"/>
          <w:sz w:val="24"/>
          <w:szCs w:val="24"/>
        </w:rPr>
      </w:pPr>
      <w:r w:rsidRPr="005E13AA">
        <w:rPr>
          <w:rFonts w:ascii="Times New Roman" w:hAnsi="Times New Roman" w:cs="Times New Roman"/>
          <w:sz w:val="24"/>
          <w:szCs w:val="24"/>
        </w:rPr>
        <w:t>Book Evaluation</w:t>
      </w:r>
    </w:p>
    <w:p w:rsidR="00674305" w:rsidRDefault="00FF7753" w:rsidP="00FF77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74305">
        <w:rPr>
          <w:rFonts w:ascii="Times New Roman" w:hAnsi="Times New Roman" w:cs="Times New Roman"/>
          <w:sz w:val="24"/>
          <w:szCs w:val="24"/>
        </w:rPr>
        <w:t>‘T</w:t>
      </w:r>
      <w:r w:rsidR="00674305" w:rsidRPr="00674305">
        <w:rPr>
          <w:rFonts w:ascii="Times New Roman" w:hAnsi="Times New Roman" w:cs="Times New Roman"/>
          <w:sz w:val="24"/>
          <w:szCs w:val="24"/>
        </w:rPr>
        <w:t>RIANGLE: The Fire That Changed America</w:t>
      </w:r>
      <w:r w:rsidR="00674305">
        <w:rPr>
          <w:rFonts w:ascii="Times New Roman" w:hAnsi="Times New Roman" w:cs="Times New Roman"/>
          <w:sz w:val="24"/>
          <w:szCs w:val="24"/>
        </w:rPr>
        <w:t xml:space="preserve">’ is ultimately a passionate narration of </w:t>
      </w:r>
      <w:r w:rsidR="008906EA">
        <w:rPr>
          <w:rFonts w:ascii="Times New Roman" w:hAnsi="Times New Roman" w:cs="Times New Roman"/>
          <w:sz w:val="24"/>
          <w:szCs w:val="24"/>
        </w:rPr>
        <w:t xml:space="preserve">the implications of </w:t>
      </w:r>
      <w:r w:rsidR="006952B9">
        <w:rPr>
          <w:rFonts w:ascii="Times New Roman" w:hAnsi="Times New Roman" w:cs="Times New Roman"/>
          <w:sz w:val="24"/>
          <w:szCs w:val="24"/>
        </w:rPr>
        <w:t xml:space="preserve">fire </w:t>
      </w:r>
      <w:r w:rsidR="008906EA">
        <w:rPr>
          <w:rFonts w:ascii="Times New Roman" w:hAnsi="Times New Roman" w:cs="Times New Roman"/>
          <w:sz w:val="24"/>
          <w:szCs w:val="24"/>
        </w:rPr>
        <w:t xml:space="preserve">Triangle Shirtwaist Factory </w:t>
      </w:r>
      <w:r w:rsidR="006952B9">
        <w:rPr>
          <w:rFonts w:ascii="Times New Roman" w:hAnsi="Times New Roman" w:cs="Times New Roman"/>
          <w:sz w:val="24"/>
          <w:szCs w:val="24"/>
        </w:rPr>
        <w:t xml:space="preserve">fire incident in 1911. </w:t>
      </w:r>
      <w:r w:rsidR="001C00E7">
        <w:rPr>
          <w:rFonts w:ascii="Times New Roman" w:hAnsi="Times New Roman" w:cs="Times New Roman"/>
          <w:sz w:val="24"/>
          <w:szCs w:val="24"/>
        </w:rPr>
        <w:t xml:space="preserve">David Von Drehle has identified in his story that how this historic tragedy became the foundation of an extensive labor reform struggle and </w:t>
      </w:r>
      <w:r w:rsidR="00634684">
        <w:rPr>
          <w:rFonts w:ascii="Times New Roman" w:hAnsi="Times New Roman" w:cs="Times New Roman"/>
          <w:sz w:val="24"/>
          <w:szCs w:val="24"/>
        </w:rPr>
        <w:t xml:space="preserve">safe workplace conditions for the Americans. Drehle has shed spotlight over the political, activism and reform agenda of </w:t>
      </w:r>
      <w:r w:rsidR="00B053BD">
        <w:rPr>
          <w:rFonts w:ascii="Times New Roman" w:hAnsi="Times New Roman" w:cs="Times New Roman"/>
          <w:sz w:val="24"/>
          <w:szCs w:val="24"/>
        </w:rPr>
        <w:t>Tammany Hall for the progressive era of the American</w:t>
      </w:r>
      <w:r>
        <w:rPr>
          <w:rFonts w:ascii="Times New Roman" w:hAnsi="Times New Roman" w:cs="Times New Roman"/>
          <w:sz w:val="24"/>
          <w:szCs w:val="24"/>
        </w:rPr>
        <w:t>. He has argued through his story that the negligence of politicians, policy makers and fire department led to such a tragic incident that caused 146</w:t>
      </w:r>
      <w:r w:rsidR="00CC3E22">
        <w:rPr>
          <w:rFonts w:ascii="Times New Roman" w:hAnsi="Times New Roman" w:cs="Times New Roman"/>
          <w:sz w:val="24"/>
          <w:szCs w:val="24"/>
        </w:rPr>
        <w:t xml:space="preserve"> </w:t>
      </w:r>
      <w:r w:rsidR="00C011E0">
        <w:rPr>
          <w:rFonts w:ascii="Times New Roman" w:hAnsi="Times New Roman" w:cs="Times New Roman"/>
          <w:sz w:val="24"/>
          <w:szCs w:val="24"/>
        </w:rPr>
        <w:t xml:space="preserve">immigrants </w:t>
      </w:r>
      <w:r w:rsidR="00CC3E22">
        <w:rPr>
          <w:rFonts w:ascii="Times New Roman" w:hAnsi="Times New Roman" w:cs="Times New Roman"/>
          <w:sz w:val="24"/>
          <w:szCs w:val="24"/>
        </w:rPr>
        <w:t>deaths in the factory</w:t>
      </w:r>
      <w:r w:rsidR="00533E34">
        <w:rPr>
          <w:rFonts w:ascii="Times New Roman" w:hAnsi="Times New Roman" w:cs="Times New Roman"/>
          <w:sz w:val="24"/>
          <w:szCs w:val="24"/>
        </w:rPr>
        <w:t xml:space="preserve"> </w:t>
      </w:r>
      <w:r w:rsidR="00533E34">
        <w:rPr>
          <w:rFonts w:ascii="Times New Roman" w:hAnsi="Times New Roman" w:cs="Times New Roman"/>
          <w:sz w:val="24"/>
          <w:szCs w:val="24"/>
        </w:rPr>
        <w:fldChar w:fldCharType="begin"/>
      </w:r>
      <w:r w:rsidR="00533E34">
        <w:rPr>
          <w:rFonts w:ascii="Times New Roman" w:hAnsi="Times New Roman" w:cs="Times New Roman"/>
          <w:sz w:val="24"/>
          <w:szCs w:val="24"/>
        </w:rPr>
        <w:instrText xml:space="preserve"> ADDIN ZOTERO_ITEM CSL_CITATION {"citationID":"V9QgQ516","properties":{"formattedCitation":"(Linne et al.)","plainCitation":"(Linne et al.)","noteIndex":0},"citationItems":[{"id":455,"uris":["http://zotero.org/users/local/9Hfkg8Y0/items/IN78CETG"],"uri":["http://zotero.org/users/local/9Hfkg8Y0/items/IN78CETG"],"itemData":{"id":455,"type":"book","title":"The New York City Triangle Factory Fire","publisher":"Arcadia Publishing","ISBN":"0-7385-7403-1","author":[{"family":"Linne","given":"Rob"},{"family":"Sosin","given":"Adrienne"},{"family":"Sosinsky","given":"Joel"}],"issued":{"date-parts":[["2011"]]}}}],"schema":"https://github.com/citation-style-language/schema/raw/master/csl-citation.json"} </w:instrText>
      </w:r>
      <w:r w:rsidR="00533E34">
        <w:rPr>
          <w:rFonts w:ascii="Times New Roman" w:hAnsi="Times New Roman" w:cs="Times New Roman"/>
          <w:sz w:val="24"/>
          <w:szCs w:val="24"/>
        </w:rPr>
        <w:fldChar w:fldCharType="separate"/>
      </w:r>
      <w:r w:rsidR="00533E34" w:rsidRPr="00533E34">
        <w:rPr>
          <w:rFonts w:ascii="Times New Roman" w:hAnsi="Times New Roman" w:cs="Times New Roman"/>
          <w:sz w:val="24"/>
        </w:rPr>
        <w:t>(Linne et al.)</w:t>
      </w:r>
      <w:r w:rsidR="00533E34">
        <w:rPr>
          <w:rFonts w:ascii="Times New Roman" w:hAnsi="Times New Roman" w:cs="Times New Roman"/>
          <w:sz w:val="24"/>
          <w:szCs w:val="24"/>
        </w:rPr>
        <w:fldChar w:fldCharType="end"/>
      </w:r>
      <w:r w:rsidR="00CC3E22">
        <w:rPr>
          <w:rFonts w:ascii="Times New Roman" w:hAnsi="Times New Roman" w:cs="Times New Roman"/>
          <w:sz w:val="24"/>
          <w:szCs w:val="24"/>
        </w:rPr>
        <w:t xml:space="preserve">. </w:t>
      </w:r>
      <w:r>
        <w:rPr>
          <w:rFonts w:ascii="Times New Roman" w:hAnsi="Times New Roman" w:cs="Times New Roman"/>
          <w:sz w:val="24"/>
          <w:szCs w:val="24"/>
        </w:rPr>
        <w:t xml:space="preserve"> </w:t>
      </w:r>
      <w:r w:rsidR="00CC3E22">
        <w:rPr>
          <w:rFonts w:ascii="Times New Roman" w:hAnsi="Times New Roman" w:cs="Times New Roman"/>
          <w:sz w:val="24"/>
          <w:szCs w:val="24"/>
        </w:rPr>
        <w:t xml:space="preserve">He begun with the uprising of </w:t>
      </w:r>
      <w:r w:rsidR="00240034">
        <w:rPr>
          <w:rFonts w:ascii="Times New Roman" w:hAnsi="Times New Roman" w:cs="Times New Roman"/>
          <w:sz w:val="24"/>
          <w:szCs w:val="24"/>
        </w:rPr>
        <w:t>shirtwaist workers and their strike ‘Uprising of the Twenty Thousand’</w:t>
      </w:r>
      <w:r w:rsidR="005E3F43">
        <w:rPr>
          <w:rFonts w:ascii="Times New Roman" w:hAnsi="Times New Roman" w:cs="Times New Roman"/>
          <w:sz w:val="24"/>
          <w:szCs w:val="24"/>
        </w:rPr>
        <w:t xml:space="preserve"> which led to the establishment of the international ladies’ garment workers union. The dramatic </w:t>
      </w:r>
      <w:r w:rsidR="00C011E0">
        <w:rPr>
          <w:rFonts w:ascii="Times New Roman" w:hAnsi="Times New Roman" w:cs="Times New Roman"/>
          <w:sz w:val="24"/>
          <w:szCs w:val="24"/>
        </w:rPr>
        <w:t>hostility</w:t>
      </w:r>
      <w:r w:rsidR="005E3F43">
        <w:rPr>
          <w:rFonts w:ascii="Times New Roman" w:hAnsi="Times New Roman" w:cs="Times New Roman"/>
          <w:sz w:val="24"/>
          <w:szCs w:val="24"/>
        </w:rPr>
        <w:t xml:space="preserve"> </w:t>
      </w:r>
      <w:r w:rsidR="00C011E0">
        <w:rPr>
          <w:rFonts w:ascii="Times New Roman" w:hAnsi="Times New Roman" w:cs="Times New Roman"/>
          <w:sz w:val="24"/>
          <w:szCs w:val="24"/>
        </w:rPr>
        <w:t xml:space="preserve">among the immigrant working girls and the employers was headed by the </w:t>
      </w:r>
      <w:r w:rsidR="00A665AA">
        <w:rPr>
          <w:rFonts w:ascii="Times New Roman" w:hAnsi="Times New Roman" w:cs="Times New Roman"/>
          <w:sz w:val="24"/>
          <w:szCs w:val="24"/>
        </w:rPr>
        <w:t xml:space="preserve">Shirtwaist company. It continued for months and in the process, the movement began to expand and </w:t>
      </w:r>
      <w:r w:rsidR="00B44588">
        <w:rPr>
          <w:rFonts w:ascii="Times New Roman" w:hAnsi="Times New Roman" w:cs="Times New Roman"/>
          <w:sz w:val="24"/>
          <w:szCs w:val="24"/>
        </w:rPr>
        <w:t xml:space="preserve">attracted suffrage advocates, young college women and activists or reformers as they received attention and consideration. However, the riot ended </w:t>
      </w:r>
      <w:r w:rsidR="0035553D">
        <w:rPr>
          <w:rFonts w:ascii="Times New Roman" w:hAnsi="Times New Roman" w:cs="Times New Roman"/>
          <w:sz w:val="24"/>
          <w:szCs w:val="24"/>
        </w:rPr>
        <w:t xml:space="preserve">with a significant yet partial success for the union. </w:t>
      </w:r>
    </w:p>
    <w:p w:rsidR="003F4EAE" w:rsidRDefault="003F4EAE" w:rsidP="00FF77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Drehe mentioned that the fire took the lives of not very anonymous people, rather they were the strikers. </w:t>
      </w:r>
      <w:r w:rsidR="00DD69DC">
        <w:rPr>
          <w:rFonts w:ascii="Times New Roman" w:hAnsi="Times New Roman" w:cs="Times New Roman"/>
          <w:sz w:val="24"/>
          <w:szCs w:val="24"/>
        </w:rPr>
        <w:t xml:space="preserve">He has argued it with great conviction in his book after following </w:t>
      </w:r>
      <w:r w:rsidR="0060616C">
        <w:rPr>
          <w:rFonts w:ascii="Times New Roman" w:hAnsi="Times New Roman" w:cs="Times New Roman"/>
          <w:sz w:val="24"/>
          <w:szCs w:val="24"/>
        </w:rPr>
        <w:t xml:space="preserve">through the trial of company owners Max Blank and Isaac Harris that they were the ones responsible for the </w:t>
      </w:r>
      <w:r w:rsidR="0060616C">
        <w:rPr>
          <w:rFonts w:ascii="Times New Roman" w:hAnsi="Times New Roman" w:cs="Times New Roman"/>
          <w:sz w:val="24"/>
          <w:szCs w:val="24"/>
        </w:rPr>
        <w:lastRenderedPageBreak/>
        <w:t xml:space="preserve">manslaughter. </w:t>
      </w:r>
      <w:r w:rsidR="00A369E0">
        <w:rPr>
          <w:rFonts w:ascii="Times New Roman" w:hAnsi="Times New Roman" w:cs="Times New Roman"/>
          <w:sz w:val="24"/>
          <w:szCs w:val="24"/>
        </w:rPr>
        <w:t xml:space="preserve">He put the blame on them as the door of the factory was locked which prevented so many worker to escape the fire. The reason for this monstrous </w:t>
      </w:r>
      <w:r w:rsidR="00273C1D">
        <w:rPr>
          <w:rFonts w:ascii="Times New Roman" w:hAnsi="Times New Roman" w:cs="Times New Roman"/>
          <w:sz w:val="24"/>
          <w:szCs w:val="24"/>
        </w:rPr>
        <w:t xml:space="preserve">thing to do was to make worker’s avoid any additional breaks. </w:t>
      </w:r>
      <w:r w:rsidR="00285611">
        <w:rPr>
          <w:rFonts w:ascii="Times New Roman" w:hAnsi="Times New Roman" w:cs="Times New Roman"/>
          <w:sz w:val="24"/>
          <w:szCs w:val="24"/>
        </w:rPr>
        <w:t xml:space="preserve">He also followed through the creation of the New York State legislative commission which was </w:t>
      </w:r>
      <w:r w:rsidR="00A3411B">
        <w:rPr>
          <w:rFonts w:ascii="Times New Roman" w:hAnsi="Times New Roman" w:cs="Times New Roman"/>
          <w:sz w:val="24"/>
          <w:szCs w:val="24"/>
        </w:rPr>
        <w:t xml:space="preserve">co-shaired by Al Smith and Robert Wagner. It provided support to the bring about reforms for the factory safety and in its </w:t>
      </w:r>
      <w:r w:rsidR="000C49C4">
        <w:rPr>
          <w:rFonts w:ascii="Times New Roman" w:hAnsi="Times New Roman" w:cs="Times New Roman"/>
          <w:sz w:val="24"/>
          <w:szCs w:val="24"/>
        </w:rPr>
        <w:t>process, the concept of “Urban liberalism’ was invented that would later characterize the Democratic Party</w:t>
      </w:r>
      <w:r w:rsidR="003F2E26">
        <w:rPr>
          <w:rFonts w:ascii="Times New Roman" w:hAnsi="Times New Roman" w:cs="Times New Roman"/>
          <w:sz w:val="24"/>
          <w:szCs w:val="24"/>
        </w:rPr>
        <w:t xml:space="preserve"> for the following years. </w:t>
      </w:r>
      <w:r w:rsidR="001254A9">
        <w:rPr>
          <w:rFonts w:ascii="Times New Roman" w:hAnsi="Times New Roman" w:cs="Times New Roman"/>
          <w:sz w:val="24"/>
          <w:szCs w:val="24"/>
        </w:rPr>
        <w:t xml:space="preserve">The political </w:t>
      </w:r>
      <w:r w:rsidR="002153D9">
        <w:rPr>
          <w:rFonts w:ascii="Times New Roman" w:hAnsi="Times New Roman" w:cs="Times New Roman"/>
          <w:sz w:val="24"/>
          <w:szCs w:val="24"/>
        </w:rPr>
        <w:t xml:space="preserve">future was based on self-preservation and support of immigrant rights and union reforms. </w:t>
      </w:r>
      <w:r w:rsidR="003F2E26">
        <w:rPr>
          <w:rFonts w:ascii="Times New Roman" w:hAnsi="Times New Roman" w:cs="Times New Roman"/>
          <w:sz w:val="24"/>
          <w:szCs w:val="24"/>
        </w:rPr>
        <w:t>Drehe’s narrative strategy is primarily focused on the individual workers.</w:t>
      </w:r>
      <w:r w:rsidR="00C86384">
        <w:rPr>
          <w:rFonts w:ascii="Times New Roman" w:hAnsi="Times New Roman" w:cs="Times New Roman"/>
          <w:sz w:val="24"/>
          <w:szCs w:val="24"/>
        </w:rPr>
        <w:t xml:space="preserve"> For him, the uprising was particularly the tale of some specific strikers and the fire incident was tragedy of the </w:t>
      </w:r>
      <w:r w:rsidR="00357A09">
        <w:rPr>
          <w:rFonts w:ascii="Times New Roman" w:hAnsi="Times New Roman" w:cs="Times New Roman"/>
          <w:sz w:val="24"/>
          <w:szCs w:val="24"/>
        </w:rPr>
        <w:t>individualized victims</w:t>
      </w:r>
      <w:r w:rsidR="0051319D">
        <w:rPr>
          <w:rFonts w:ascii="Times New Roman" w:hAnsi="Times New Roman" w:cs="Times New Roman"/>
          <w:sz w:val="24"/>
          <w:szCs w:val="24"/>
        </w:rPr>
        <w:t xml:space="preserve"> </w:t>
      </w:r>
      <w:r w:rsidR="0051319D">
        <w:rPr>
          <w:rFonts w:ascii="Times New Roman" w:hAnsi="Times New Roman" w:cs="Times New Roman"/>
          <w:sz w:val="24"/>
          <w:szCs w:val="24"/>
        </w:rPr>
        <w:fldChar w:fldCharType="begin"/>
      </w:r>
      <w:r w:rsidR="0051319D">
        <w:rPr>
          <w:rFonts w:ascii="Times New Roman" w:hAnsi="Times New Roman" w:cs="Times New Roman"/>
          <w:sz w:val="24"/>
          <w:szCs w:val="24"/>
        </w:rPr>
        <w:instrText xml:space="preserve"> ADDIN ZOTERO_ITEM CSL_CITATION {"citationID":"gc1duazA","properties":{"formattedCitation":"(Manning et al.)","plainCitation":"(Manning et al.)","noteIndex":0},"citationItems":[{"id":456,"uris":["http://zotero.org/users/local/9Hfkg8Y0/items/N5AK5MM6"],"uri":["http://zotero.org/users/local/9Hfkg8Y0/items/N5AK5MM6"],"itemData":{"id":456,"type":"article-journal","title":"The Triangle Fire: 100 Years of Influence and Analysis","container-title":"History","page":"9","volume":"297","author":[{"family":"Manning","given":"Jack"},{"family":"Ferrell","given":"Claudine"},{"family":"Bales","given":"Mr Jack"}],"issued":{"date-parts":[["2014"]]}}}],"schema":"https://github.com/citation-style-language/schema/raw/master/csl-citation.json"} </w:instrText>
      </w:r>
      <w:r w:rsidR="0051319D">
        <w:rPr>
          <w:rFonts w:ascii="Times New Roman" w:hAnsi="Times New Roman" w:cs="Times New Roman"/>
          <w:sz w:val="24"/>
          <w:szCs w:val="24"/>
        </w:rPr>
        <w:fldChar w:fldCharType="separate"/>
      </w:r>
      <w:r w:rsidR="0051319D" w:rsidRPr="0051319D">
        <w:rPr>
          <w:rFonts w:ascii="Times New Roman" w:hAnsi="Times New Roman" w:cs="Times New Roman"/>
          <w:sz w:val="24"/>
        </w:rPr>
        <w:t>(Manning et al.)</w:t>
      </w:r>
      <w:r w:rsidR="0051319D">
        <w:rPr>
          <w:rFonts w:ascii="Times New Roman" w:hAnsi="Times New Roman" w:cs="Times New Roman"/>
          <w:sz w:val="24"/>
          <w:szCs w:val="24"/>
        </w:rPr>
        <w:fldChar w:fldCharType="end"/>
      </w:r>
      <w:r w:rsidR="00357A09">
        <w:rPr>
          <w:rFonts w:ascii="Times New Roman" w:hAnsi="Times New Roman" w:cs="Times New Roman"/>
          <w:sz w:val="24"/>
          <w:szCs w:val="24"/>
        </w:rPr>
        <w:t xml:space="preserve">. </w:t>
      </w:r>
      <w:r w:rsidR="00CF0EA5">
        <w:rPr>
          <w:rFonts w:ascii="Times New Roman" w:hAnsi="Times New Roman" w:cs="Times New Roman"/>
          <w:sz w:val="24"/>
          <w:szCs w:val="24"/>
        </w:rPr>
        <w:t xml:space="preserve">He also raised the issues related to immigrant rights, safety measurements at workplaces and role of politics in shaping </w:t>
      </w:r>
      <w:r w:rsidR="0051319D">
        <w:rPr>
          <w:rFonts w:ascii="Times New Roman" w:hAnsi="Times New Roman" w:cs="Times New Roman"/>
          <w:sz w:val="24"/>
          <w:szCs w:val="24"/>
        </w:rPr>
        <w:t>the</w:t>
      </w:r>
      <w:r w:rsidR="00CF0EA5">
        <w:rPr>
          <w:rFonts w:ascii="Times New Roman" w:hAnsi="Times New Roman" w:cs="Times New Roman"/>
          <w:sz w:val="24"/>
          <w:szCs w:val="24"/>
        </w:rPr>
        <w:t xml:space="preserve"> </w:t>
      </w:r>
      <w:r w:rsidR="001254A9">
        <w:rPr>
          <w:rFonts w:ascii="Times New Roman" w:hAnsi="Times New Roman" w:cs="Times New Roman"/>
          <w:sz w:val="24"/>
          <w:szCs w:val="24"/>
        </w:rPr>
        <w:t>progressive agenda</w:t>
      </w:r>
      <w:r w:rsidR="0051319D">
        <w:rPr>
          <w:rFonts w:ascii="Times New Roman" w:hAnsi="Times New Roman" w:cs="Times New Roman"/>
          <w:sz w:val="24"/>
          <w:szCs w:val="24"/>
        </w:rPr>
        <w:t>.</w:t>
      </w:r>
    </w:p>
    <w:p w:rsidR="0040318C" w:rsidRPr="00674305" w:rsidRDefault="0040318C" w:rsidP="00FF77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book is not a scholarly study that can be integrated in the </w:t>
      </w:r>
      <w:r w:rsidR="00F8755C">
        <w:rPr>
          <w:rFonts w:ascii="Times New Roman" w:hAnsi="Times New Roman" w:cs="Times New Roman"/>
          <w:sz w:val="24"/>
          <w:szCs w:val="24"/>
        </w:rPr>
        <w:t xml:space="preserve">scholarship regarding immigration, labor rights, progressive reforms or several other relevant topics. Drehe has </w:t>
      </w:r>
      <w:r w:rsidR="00814536">
        <w:rPr>
          <w:rFonts w:ascii="Times New Roman" w:hAnsi="Times New Roman" w:cs="Times New Roman"/>
          <w:sz w:val="24"/>
          <w:szCs w:val="24"/>
        </w:rPr>
        <w:t xml:space="preserve">openly mentioned the concept of urban liberalism and new deal policies. </w:t>
      </w:r>
      <w:r w:rsidR="005930F5">
        <w:rPr>
          <w:rFonts w:ascii="Times New Roman" w:hAnsi="Times New Roman" w:cs="Times New Roman"/>
          <w:sz w:val="24"/>
          <w:szCs w:val="24"/>
        </w:rPr>
        <w:t xml:space="preserve">His narration themes and arguments have kept historians and academicians from introducing his work into the syllabus </w:t>
      </w:r>
      <w:r w:rsidR="00C31D7F">
        <w:rPr>
          <w:rFonts w:ascii="Times New Roman" w:hAnsi="Times New Roman" w:cs="Times New Roman"/>
          <w:sz w:val="24"/>
          <w:szCs w:val="24"/>
        </w:rPr>
        <w:t xml:space="preserve">for undergraduates. However, there is nothing wrong in studying about any historical event with different perspectives that opens up </w:t>
      </w:r>
      <w:r w:rsidR="0006788A">
        <w:rPr>
          <w:rFonts w:ascii="Times New Roman" w:hAnsi="Times New Roman" w:cs="Times New Roman"/>
          <w:sz w:val="24"/>
          <w:szCs w:val="24"/>
        </w:rPr>
        <w:t xml:space="preserve">ways for cognitive thinking about the issues of the time and struggles through the progressive era. This book also provides an insight about the labor rights, negligence, policies and regulations leading to a massive disaster and then how reforms were being brought in the industry to provide safety </w:t>
      </w:r>
      <w:r w:rsidR="00DA5CFC">
        <w:rPr>
          <w:rFonts w:ascii="Times New Roman" w:hAnsi="Times New Roman" w:cs="Times New Roman"/>
          <w:sz w:val="24"/>
          <w:szCs w:val="24"/>
        </w:rPr>
        <w:t xml:space="preserve">and basic rights to the labors. </w:t>
      </w:r>
      <w:r w:rsidR="0035796C">
        <w:rPr>
          <w:rFonts w:ascii="Times New Roman" w:hAnsi="Times New Roman" w:cs="Times New Roman"/>
          <w:sz w:val="24"/>
          <w:szCs w:val="24"/>
        </w:rPr>
        <w:t xml:space="preserve">And most importantly, he gave identities to the victims of the fire incident </w:t>
      </w:r>
      <w:r w:rsidR="007912C8">
        <w:rPr>
          <w:rFonts w:ascii="Times New Roman" w:hAnsi="Times New Roman" w:cs="Times New Roman"/>
          <w:sz w:val="24"/>
          <w:szCs w:val="24"/>
        </w:rPr>
        <w:t xml:space="preserve">and highlighted important </w:t>
      </w:r>
      <w:r w:rsidR="007912C8">
        <w:rPr>
          <w:rFonts w:ascii="Times New Roman" w:hAnsi="Times New Roman" w:cs="Times New Roman"/>
          <w:sz w:val="24"/>
          <w:szCs w:val="24"/>
        </w:rPr>
        <w:lastRenderedPageBreak/>
        <w:t>figures and activists.</w:t>
      </w:r>
      <w:r w:rsidR="00DA5CFC">
        <w:rPr>
          <w:rFonts w:ascii="Times New Roman" w:hAnsi="Times New Roman" w:cs="Times New Roman"/>
          <w:sz w:val="24"/>
          <w:szCs w:val="24"/>
        </w:rPr>
        <w:t>Drehe has done exceptional work in intro</w:t>
      </w:r>
      <w:r w:rsidR="0035796C">
        <w:rPr>
          <w:rFonts w:ascii="Times New Roman" w:hAnsi="Times New Roman" w:cs="Times New Roman"/>
          <w:sz w:val="24"/>
          <w:szCs w:val="24"/>
        </w:rPr>
        <w:t xml:space="preserve">ducing political and social transformation and rise of the urban liberalism. </w:t>
      </w:r>
    </w:p>
    <w:p w:rsidR="005E13AA" w:rsidRPr="005E13AA" w:rsidRDefault="005E13AA" w:rsidP="005E13AA">
      <w:pPr>
        <w:spacing w:line="480" w:lineRule="auto"/>
        <w:rPr>
          <w:rFonts w:ascii="Times New Roman" w:hAnsi="Times New Roman" w:cs="Times New Roman"/>
          <w:sz w:val="24"/>
          <w:szCs w:val="24"/>
        </w:rPr>
      </w:pPr>
    </w:p>
    <w:p w:rsidR="003C4AF6" w:rsidRPr="005E13AA" w:rsidRDefault="003C4AF6" w:rsidP="005E13AA">
      <w:pPr>
        <w:spacing w:line="480" w:lineRule="auto"/>
        <w:rPr>
          <w:rFonts w:ascii="Times New Roman" w:hAnsi="Times New Roman" w:cs="Times New Roman"/>
          <w:sz w:val="24"/>
          <w:szCs w:val="24"/>
        </w:rPr>
      </w:pPr>
      <w:r w:rsidRPr="005E13AA">
        <w:rPr>
          <w:rFonts w:ascii="Times New Roman" w:hAnsi="Times New Roman" w:cs="Times New Roman"/>
          <w:sz w:val="24"/>
          <w:szCs w:val="24"/>
        </w:rPr>
        <w:br w:type="page"/>
      </w:r>
      <w:bookmarkStart w:id="0" w:name="_GoBack"/>
      <w:bookmarkEnd w:id="0"/>
    </w:p>
    <w:p w:rsidR="00D63057" w:rsidRDefault="003C4AF6" w:rsidP="005E13AA">
      <w:pPr>
        <w:spacing w:line="480" w:lineRule="auto"/>
        <w:jc w:val="center"/>
        <w:rPr>
          <w:rFonts w:ascii="Times New Roman" w:hAnsi="Times New Roman" w:cs="Times New Roman"/>
          <w:b/>
          <w:sz w:val="24"/>
          <w:szCs w:val="24"/>
        </w:rPr>
      </w:pPr>
      <w:r w:rsidRPr="005E13AA">
        <w:rPr>
          <w:rFonts w:ascii="Times New Roman" w:hAnsi="Times New Roman" w:cs="Times New Roman"/>
          <w:b/>
          <w:sz w:val="24"/>
          <w:szCs w:val="24"/>
        </w:rPr>
        <w:lastRenderedPageBreak/>
        <w:t>Works Cited</w:t>
      </w:r>
    </w:p>
    <w:p w:rsidR="003353DA" w:rsidRPr="003353DA" w:rsidRDefault="003353DA" w:rsidP="003353DA">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3353DA">
        <w:rPr>
          <w:rFonts w:ascii="Times New Roman" w:hAnsi="Times New Roman" w:cs="Times New Roman"/>
          <w:sz w:val="24"/>
        </w:rPr>
        <w:t xml:space="preserve">Linne, Rob, et al. </w:t>
      </w:r>
      <w:r w:rsidRPr="003353DA">
        <w:rPr>
          <w:rFonts w:ascii="Times New Roman" w:hAnsi="Times New Roman" w:cs="Times New Roman"/>
          <w:i/>
          <w:iCs/>
          <w:sz w:val="24"/>
        </w:rPr>
        <w:t>The New York City Triangle Factory Fire</w:t>
      </w:r>
      <w:r w:rsidRPr="003353DA">
        <w:rPr>
          <w:rFonts w:ascii="Times New Roman" w:hAnsi="Times New Roman" w:cs="Times New Roman"/>
          <w:sz w:val="24"/>
        </w:rPr>
        <w:t>. Arcadia Publishing, 2011.</w:t>
      </w:r>
    </w:p>
    <w:p w:rsidR="003353DA" w:rsidRPr="003353DA" w:rsidRDefault="003353DA" w:rsidP="003353DA">
      <w:pPr>
        <w:pStyle w:val="Bibliography"/>
        <w:rPr>
          <w:rFonts w:ascii="Times New Roman" w:hAnsi="Times New Roman" w:cs="Times New Roman"/>
          <w:sz w:val="24"/>
        </w:rPr>
      </w:pPr>
      <w:r w:rsidRPr="003353DA">
        <w:rPr>
          <w:rFonts w:ascii="Times New Roman" w:hAnsi="Times New Roman" w:cs="Times New Roman"/>
          <w:sz w:val="24"/>
        </w:rPr>
        <w:t xml:space="preserve">Manning, Jack, et al. “The Triangle Fire: 100 Years of Influence and Analysis.” </w:t>
      </w:r>
      <w:r w:rsidRPr="003353DA">
        <w:rPr>
          <w:rFonts w:ascii="Times New Roman" w:hAnsi="Times New Roman" w:cs="Times New Roman"/>
          <w:i/>
          <w:iCs/>
          <w:sz w:val="24"/>
        </w:rPr>
        <w:t>History</w:t>
      </w:r>
      <w:r w:rsidRPr="003353DA">
        <w:rPr>
          <w:rFonts w:ascii="Times New Roman" w:hAnsi="Times New Roman" w:cs="Times New Roman"/>
          <w:sz w:val="24"/>
        </w:rPr>
        <w:t>, vol. 297, 2014, p. 9.</w:t>
      </w:r>
    </w:p>
    <w:p w:rsidR="003353DA" w:rsidRPr="005E13AA" w:rsidRDefault="003353DA" w:rsidP="003353DA">
      <w:pPr>
        <w:spacing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3353DA" w:rsidRPr="005E13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3D3" w:rsidRDefault="004A13D3" w:rsidP="00D63057">
      <w:pPr>
        <w:spacing w:after="0" w:line="240" w:lineRule="auto"/>
      </w:pPr>
      <w:r>
        <w:separator/>
      </w:r>
    </w:p>
  </w:endnote>
  <w:endnote w:type="continuationSeparator" w:id="0">
    <w:p w:rsidR="004A13D3" w:rsidRDefault="004A13D3" w:rsidP="00D6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3D3" w:rsidRDefault="004A13D3" w:rsidP="00D63057">
      <w:pPr>
        <w:spacing w:after="0" w:line="240" w:lineRule="auto"/>
      </w:pPr>
      <w:r>
        <w:separator/>
      </w:r>
    </w:p>
  </w:footnote>
  <w:footnote w:type="continuationSeparator" w:id="0">
    <w:p w:rsidR="004A13D3" w:rsidRDefault="004A13D3" w:rsidP="00D63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C8" w:rsidRDefault="007912C8">
    <w:pPr>
      <w:pStyle w:val="Header"/>
      <w:jc w:val="right"/>
    </w:pPr>
    <w:r w:rsidRPr="003C4AF6">
      <w:rPr>
        <w:rFonts w:ascii="Times New Roman" w:hAnsi="Times New Roman" w:cs="Times New Roman"/>
        <w:sz w:val="24"/>
      </w:rPr>
      <w:t xml:space="preserve">Last Name </w:t>
    </w:r>
    <w:sdt>
      <w:sdtPr>
        <w:rPr>
          <w:rFonts w:ascii="Times New Roman" w:hAnsi="Times New Roman" w:cs="Times New Roman"/>
          <w:sz w:val="24"/>
        </w:rPr>
        <w:id w:val="-1732458363"/>
        <w:docPartObj>
          <w:docPartGallery w:val="Page Numbers (Top of Page)"/>
          <w:docPartUnique/>
        </w:docPartObj>
      </w:sdtPr>
      <w:sdtEndPr>
        <w:rPr>
          <w:rFonts w:asciiTheme="minorHAnsi" w:hAnsiTheme="minorHAnsi" w:cstheme="minorBidi"/>
          <w:noProof/>
          <w:sz w:val="22"/>
        </w:rPr>
      </w:sdtEndPr>
      <w:sdtContent>
        <w:r w:rsidRPr="003C4AF6">
          <w:rPr>
            <w:rFonts w:ascii="Times New Roman" w:hAnsi="Times New Roman" w:cs="Times New Roman"/>
            <w:sz w:val="24"/>
          </w:rPr>
          <w:fldChar w:fldCharType="begin"/>
        </w:r>
        <w:r w:rsidRPr="003C4AF6">
          <w:rPr>
            <w:rFonts w:ascii="Times New Roman" w:hAnsi="Times New Roman" w:cs="Times New Roman"/>
            <w:sz w:val="24"/>
          </w:rPr>
          <w:instrText xml:space="preserve"> PAGE   \* MERGEFORMAT </w:instrText>
        </w:r>
        <w:r w:rsidRPr="003C4AF6">
          <w:rPr>
            <w:rFonts w:ascii="Times New Roman" w:hAnsi="Times New Roman" w:cs="Times New Roman"/>
            <w:sz w:val="24"/>
          </w:rPr>
          <w:fldChar w:fldCharType="separate"/>
        </w:r>
        <w:r w:rsidR="003353DA">
          <w:rPr>
            <w:rFonts w:ascii="Times New Roman" w:hAnsi="Times New Roman" w:cs="Times New Roman"/>
            <w:noProof/>
            <w:sz w:val="24"/>
          </w:rPr>
          <w:t>4</w:t>
        </w:r>
        <w:r w:rsidRPr="003C4AF6">
          <w:rPr>
            <w:rFonts w:ascii="Times New Roman" w:hAnsi="Times New Roman" w:cs="Times New Roman"/>
            <w:noProof/>
            <w:sz w:val="24"/>
          </w:rPr>
          <w:fldChar w:fldCharType="end"/>
        </w:r>
      </w:sdtContent>
    </w:sdt>
  </w:p>
  <w:p w:rsidR="007912C8" w:rsidRDefault="00791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E75"/>
    <w:multiLevelType w:val="hybridMultilevel"/>
    <w:tmpl w:val="932C8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D3"/>
    <w:rsid w:val="0006788A"/>
    <w:rsid w:val="000C49C4"/>
    <w:rsid w:val="001254A9"/>
    <w:rsid w:val="001C00E7"/>
    <w:rsid w:val="002153D9"/>
    <w:rsid w:val="00240034"/>
    <w:rsid w:val="00273C1D"/>
    <w:rsid w:val="00285611"/>
    <w:rsid w:val="003353DA"/>
    <w:rsid w:val="0035553D"/>
    <w:rsid w:val="0035796C"/>
    <w:rsid w:val="00357A09"/>
    <w:rsid w:val="003C4AF6"/>
    <w:rsid w:val="003F2E26"/>
    <w:rsid w:val="003F4EAE"/>
    <w:rsid w:val="0040318C"/>
    <w:rsid w:val="004A13D3"/>
    <w:rsid w:val="0051319D"/>
    <w:rsid w:val="00533E34"/>
    <w:rsid w:val="005930F5"/>
    <w:rsid w:val="005E13AA"/>
    <w:rsid w:val="005E3F43"/>
    <w:rsid w:val="0060616C"/>
    <w:rsid w:val="00634684"/>
    <w:rsid w:val="00674305"/>
    <w:rsid w:val="006952B9"/>
    <w:rsid w:val="00761C75"/>
    <w:rsid w:val="007912C8"/>
    <w:rsid w:val="00814536"/>
    <w:rsid w:val="008811DB"/>
    <w:rsid w:val="008906EA"/>
    <w:rsid w:val="00A3411B"/>
    <w:rsid w:val="00A369E0"/>
    <w:rsid w:val="00A665AA"/>
    <w:rsid w:val="00A7659D"/>
    <w:rsid w:val="00B053BD"/>
    <w:rsid w:val="00B44588"/>
    <w:rsid w:val="00C011E0"/>
    <w:rsid w:val="00C110D3"/>
    <w:rsid w:val="00C31D7F"/>
    <w:rsid w:val="00C86384"/>
    <w:rsid w:val="00CC3E22"/>
    <w:rsid w:val="00CF0EA5"/>
    <w:rsid w:val="00D63057"/>
    <w:rsid w:val="00DA5CFC"/>
    <w:rsid w:val="00DD69DC"/>
    <w:rsid w:val="00F8755C"/>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6B81"/>
  <w15:chartTrackingRefBased/>
  <w15:docId w15:val="{40564137-1106-44C4-A2A4-667A3914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057"/>
  </w:style>
  <w:style w:type="paragraph" w:styleId="Footer">
    <w:name w:val="footer"/>
    <w:basedOn w:val="Normal"/>
    <w:link w:val="FooterChar"/>
    <w:uiPriority w:val="99"/>
    <w:unhideWhenUsed/>
    <w:rsid w:val="00D63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057"/>
  </w:style>
  <w:style w:type="paragraph" w:styleId="ListParagraph">
    <w:name w:val="List Paragraph"/>
    <w:basedOn w:val="Normal"/>
    <w:uiPriority w:val="34"/>
    <w:qFormat/>
    <w:rsid w:val="005E13AA"/>
    <w:pPr>
      <w:ind w:left="720"/>
      <w:contextualSpacing/>
    </w:pPr>
  </w:style>
  <w:style w:type="paragraph" w:styleId="Bibliography">
    <w:name w:val="Bibliography"/>
    <w:basedOn w:val="Normal"/>
    <w:next w:val="Normal"/>
    <w:uiPriority w:val="37"/>
    <w:unhideWhenUsed/>
    <w:rsid w:val="003353D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60875">
      <w:bodyDiv w:val="1"/>
      <w:marLeft w:val="0"/>
      <w:marRight w:val="0"/>
      <w:marTop w:val="0"/>
      <w:marBottom w:val="0"/>
      <w:divBdr>
        <w:top w:val="none" w:sz="0" w:space="0" w:color="auto"/>
        <w:left w:val="none" w:sz="0" w:space="0" w:color="auto"/>
        <w:bottom w:val="none" w:sz="0" w:space="0" w:color="auto"/>
        <w:right w:val="none" w:sz="0" w:space="0" w:color="auto"/>
      </w:divBdr>
    </w:div>
    <w:div w:id="9681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6F743-7AAF-454E-8C1D-5B02ABB6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Shanza PC</dc:creator>
  <cp:keywords/>
  <dc:description/>
  <cp:lastModifiedBy>Shanza PC</cp:lastModifiedBy>
  <cp:revision>2</cp:revision>
  <dcterms:created xsi:type="dcterms:W3CDTF">2019-11-17T23:50:00Z</dcterms:created>
  <dcterms:modified xsi:type="dcterms:W3CDTF">2019-11-17T23:50:00Z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id="DI95AKGP"/&gt;&lt;style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