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33" w:rsidRDefault="00F50F33" w:rsidP="009D64E6">
      <w:pPr>
        <w:spacing w:line="480" w:lineRule="auto"/>
        <w:jc w:val="center"/>
      </w:pPr>
    </w:p>
    <w:p w:rsidR="00F50F33" w:rsidRDefault="00F50F33" w:rsidP="009D64E6">
      <w:pPr>
        <w:spacing w:line="480" w:lineRule="auto"/>
        <w:jc w:val="center"/>
      </w:pPr>
    </w:p>
    <w:p w:rsidR="00F50F33" w:rsidRDefault="00F50F33" w:rsidP="009D64E6">
      <w:pPr>
        <w:spacing w:line="480" w:lineRule="auto"/>
        <w:jc w:val="center"/>
      </w:pPr>
    </w:p>
    <w:p w:rsidR="00F50F33" w:rsidRDefault="00F50F33" w:rsidP="009D64E6">
      <w:pPr>
        <w:spacing w:line="480" w:lineRule="auto"/>
        <w:jc w:val="center"/>
      </w:pPr>
    </w:p>
    <w:p w:rsidR="00F50F33" w:rsidRDefault="00F50F33" w:rsidP="009D64E6">
      <w:pPr>
        <w:spacing w:line="480" w:lineRule="auto"/>
        <w:jc w:val="center"/>
      </w:pPr>
    </w:p>
    <w:p w:rsidR="00F50F33" w:rsidRDefault="00F3661C" w:rsidP="009D64E6">
      <w:pPr>
        <w:spacing w:line="480" w:lineRule="auto"/>
        <w:jc w:val="center"/>
      </w:pPr>
      <w:r w:rsidRPr="000D7B05">
        <w:t>Reaction Paper</w:t>
      </w:r>
    </w:p>
    <w:p w:rsidR="00F50F33" w:rsidRDefault="00F3661C" w:rsidP="009D64E6">
      <w:pPr>
        <w:spacing w:line="480" w:lineRule="auto"/>
        <w:jc w:val="center"/>
      </w:pPr>
      <w:r w:rsidRPr="000D7B05">
        <w:t>Criminal Procedure</w:t>
      </w:r>
    </w:p>
    <w:p w:rsidR="00F50F33" w:rsidRDefault="00F3661C" w:rsidP="009D64E6">
      <w:pPr>
        <w:spacing w:line="480" w:lineRule="auto"/>
        <w:jc w:val="center"/>
      </w:pPr>
      <w:r>
        <w:t>Name</w:t>
      </w:r>
    </w:p>
    <w:p w:rsidR="00F50F33" w:rsidRDefault="00F3661C" w:rsidP="009D64E6">
      <w:pPr>
        <w:spacing w:line="480" w:lineRule="auto"/>
        <w:jc w:val="center"/>
      </w:pPr>
      <w:r>
        <w:t>Affiliation</w:t>
      </w:r>
    </w:p>
    <w:p w:rsidR="00F50F33" w:rsidRDefault="00F3661C" w:rsidP="009D64E6">
      <w:pPr>
        <w:spacing w:line="480" w:lineRule="auto"/>
        <w:jc w:val="center"/>
      </w:pPr>
      <w:r>
        <w:t>Date</w:t>
      </w:r>
    </w:p>
    <w:p w:rsidR="00F50F33" w:rsidRDefault="00F3661C" w:rsidP="009D64E6">
      <w:pPr>
        <w:spacing w:line="480" w:lineRule="auto"/>
      </w:pPr>
      <w:r>
        <w:br w:type="page"/>
      </w:r>
    </w:p>
    <w:p w:rsidR="00F50F33" w:rsidRDefault="00F3661C" w:rsidP="009D64E6">
      <w:pPr>
        <w:spacing w:line="480" w:lineRule="auto"/>
        <w:jc w:val="center"/>
      </w:pPr>
      <w:r>
        <w:lastRenderedPageBreak/>
        <w:t>Reaction Paper</w:t>
      </w:r>
    </w:p>
    <w:p w:rsidR="00F50F33" w:rsidRDefault="00F3661C" w:rsidP="009D64E6">
      <w:pPr>
        <w:spacing w:line="480" w:lineRule="auto"/>
        <w:jc w:val="center"/>
      </w:pPr>
      <w:r>
        <w:t>Criminal Procedure</w:t>
      </w:r>
    </w:p>
    <w:p w:rsidR="00C51BE3" w:rsidRDefault="00F3661C" w:rsidP="009D64E6">
      <w:pPr>
        <w:spacing w:line="480" w:lineRule="auto"/>
      </w:pPr>
      <w:r w:rsidRPr="00412625">
        <w:rPr>
          <w:b/>
        </w:rPr>
        <w:t>Chapter: 12</w:t>
      </w:r>
    </w:p>
    <w:p w:rsidR="00412625" w:rsidRDefault="00F3661C" w:rsidP="00412625">
      <w:pPr>
        <w:spacing w:line="480" w:lineRule="auto"/>
        <w:ind w:firstLine="720"/>
      </w:pPr>
      <w:r>
        <w:t>The chapter discusses the court proceedings, before the trail. The decision to charge is one of the most important aspects of</w:t>
      </w:r>
      <w:r w:rsidRPr="00412625">
        <w:t xml:space="preserve"> court proceedings, before the trail</w:t>
      </w:r>
      <w:r>
        <w:t xml:space="preserve">. In criminal cases, the decision to charge depends on the evidence available, which can highlight the suspected status of the person </w:t>
      </w:r>
      <w:r w:rsidRPr="00412625">
        <w:t>(Capers, 2018)</w:t>
      </w:r>
      <w:r>
        <w:t>. The prosecution tries to assure the fact that the available evidence i</w:t>
      </w:r>
      <w:r>
        <w:t xml:space="preserve">s enough to convict the suspect, in addition to analyzing the status of physical evidence and the statements of the witnesses, as well as a defendant </w:t>
      </w:r>
      <w:r w:rsidRPr="00412625">
        <w:t>(Cole, Smith, &amp; DeJong, 2018)</w:t>
      </w:r>
      <w:r>
        <w:t xml:space="preserve">. </w:t>
      </w:r>
    </w:p>
    <w:p w:rsidR="00C51BE3" w:rsidRDefault="00F3661C" w:rsidP="00412625">
      <w:pPr>
        <w:spacing w:line="480" w:lineRule="auto"/>
        <w:ind w:firstLine="720"/>
      </w:pPr>
      <w:r>
        <w:t xml:space="preserve">Identifying the probable cause of detaining suspects is another important </w:t>
      </w:r>
      <w:r>
        <w:t>part of the court proceedings</w:t>
      </w:r>
      <w:r w:rsidRPr="00412625">
        <w:t xml:space="preserve"> before the trail</w:t>
      </w:r>
      <w:r>
        <w:t>.</w:t>
      </w:r>
      <w:r w:rsidR="005C14F6">
        <w:t xml:space="preserve"> The probable cause of detaining the suspects means that the police officers get enough points of suspecting the past, present or future activities of any person and </w:t>
      </w:r>
      <w:r w:rsidR="008465F5">
        <w:t>then impose detention on the person</w:t>
      </w:r>
      <w:r w:rsidR="005C14F6">
        <w:t xml:space="preserve"> </w:t>
      </w:r>
      <w:r w:rsidR="008465F5">
        <w:t>accordingly</w:t>
      </w:r>
      <w:r w:rsidR="005C14F6">
        <w:t>.</w:t>
      </w:r>
      <w:r w:rsidR="008465F5">
        <w:t xml:space="preserve"> In the criminal cases, it is essential that the police officers have a reasonable point or </w:t>
      </w:r>
      <w:r w:rsidR="00990106">
        <w:t>even</w:t>
      </w:r>
      <w:r w:rsidR="008465F5">
        <w:t xml:space="preserve"> evidence of suspecting an individual of </w:t>
      </w:r>
      <w:r w:rsidR="00990106">
        <w:t>committing</w:t>
      </w:r>
      <w:r w:rsidR="008465F5">
        <w:t xml:space="preserve"> </w:t>
      </w:r>
      <w:r w:rsidR="00990106">
        <w:t>some</w:t>
      </w:r>
      <w:r w:rsidR="008465F5">
        <w:t xml:space="preserve"> crime or having the</w:t>
      </w:r>
      <w:r w:rsidR="00990106">
        <w:t xml:space="preserve"> intention of doing so. On the basis of it, they can impose detention on that suspect. On the other hand, the detentions which do not require the arrests of the suspect also does not require the probable cause to impose it </w:t>
      </w:r>
      <w:r w:rsidR="00990106" w:rsidRPr="00990106">
        <w:t>(Cook, 1970)</w:t>
      </w:r>
      <w:r w:rsidR="00990106">
        <w:t>.</w:t>
      </w:r>
    </w:p>
    <w:p w:rsidR="00F82AA4" w:rsidRDefault="00F3661C" w:rsidP="00A90F98">
      <w:pPr>
        <w:spacing w:line="480" w:lineRule="auto"/>
      </w:pPr>
      <w:r>
        <w:t xml:space="preserve"> Feedback on the cases of </w:t>
      </w:r>
      <w:r w:rsidRPr="00F82AA4">
        <w:t>Rompilla v Beard and Bell v Wolfish</w:t>
      </w:r>
      <w:r>
        <w:t xml:space="preserve"> is that the court has made the right</w:t>
      </w:r>
      <w:r>
        <w:t xml:space="preserve">ful decisions, in the light of the constitutional scrutiny. In the case of </w:t>
      </w:r>
      <w:r w:rsidRPr="00F82AA4">
        <w:t>Rompilla v Beard</w:t>
      </w:r>
      <w:r w:rsidR="007C45EB">
        <w:t xml:space="preserve">, the issue highlighted was that counsel of </w:t>
      </w:r>
      <w:r w:rsidR="00A804F1">
        <w:t>Rompilla had not presented the case in a perfect manner, keeping in view the counterattacks of the other party, which resulted in the increased sentence of the defendant</w:t>
      </w:r>
      <w:r w:rsidR="00A90F98">
        <w:t xml:space="preserve"> (</w:t>
      </w:r>
      <w:r w:rsidR="00A90F98" w:rsidRPr="00BD2A03">
        <w:rPr>
          <w:i/>
          <w:iCs/>
        </w:rPr>
        <w:t>Rompilla v. Beard</w:t>
      </w:r>
      <w:r w:rsidR="00A90F98">
        <w:t>, 545 U.S. 374)</w:t>
      </w:r>
      <w:r w:rsidR="00A804F1">
        <w:t>.</w:t>
      </w:r>
      <w:r w:rsidR="005633DF" w:rsidRPr="005633DF">
        <w:t xml:space="preserve"> </w:t>
      </w:r>
      <w:r w:rsidR="005633DF">
        <w:t>In the case of</w:t>
      </w:r>
      <w:r w:rsidR="005633DF" w:rsidRPr="005633DF">
        <w:t xml:space="preserve"> </w:t>
      </w:r>
      <w:r w:rsidR="005633DF" w:rsidRPr="00F82AA4">
        <w:t>Bell v Wolfish</w:t>
      </w:r>
      <w:r w:rsidR="005633DF">
        <w:t xml:space="preserve">, the court had </w:t>
      </w:r>
      <w:r w:rsidR="005633DF">
        <w:lastRenderedPageBreak/>
        <w:t xml:space="preserve">passed the orders that some of the constitutional rights of the </w:t>
      </w:r>
      <w:r w:rsidR="00A90F98">
        <w:t>individuals</w:t>
      </w:r>
      <w:r w:rsidR="005633DF">
        <w:t xml:space="preserve"> were not </w:t>
      </w:r>
      <w:r w:rsidR="00A90F98">
        <w:t>applicable</w:t>
      </w:r>
      <w:r w:rsidR="005633DF">
        <w:t xml:space="preserve"> in the case of their </w:t>
      </w:r>
      <w:r w:rsidR="00A90F98">
        <w:t>status</w:t>
      </w:r>
      <w:r w:rsidR="005633DF">
        <w:t xml:space="preserve"> </w:t>
      </w:r>
      <w:r w:rsidR="00A90F98">
        <w:t>a</w:t>
      </w:r>
      <w:r w:rsidR="005633DF">
        <w:t xml:space="preserve">s suspects or after </w:t>
      </w:r>
      <w:r w:rsidR="00A90F98">
        <w:t>being</w:t>
      </w:r>
      <w:r w:rsidR="005633DF">
        <w:t xml:space="preserve"> </w:t>
      </w:r>
      <w:r w:rsidR="00A90F98">
        <w:t>placed</w:t>
      </w:r>
      <w:r w:rsidR="005633DF">
        <w:t xml:space="preserve"> in the detention </w:t>
      </w:r>
      <w:r w:rsidR="00A90F98">
        <w:t>centers</w:t>
      </w:r>
      <w:r w:rsidR="005633DF">
        <w:t>. So, they have to c</w:t>
      </w:r>
      <w:r w:rsidR="00A90F98">
        <w:t>om</w:t>
      </w:r>
      <w:r w:rsidR="005633DF">
        <w:t xml:space="preserve">ply </w:t>
      </w:r>
      <w:r w:rsidR="00A90F98">
        <w:t>with</w:t>
      </w:r>
      <w:r w:rsidR="005633DF">
        <w:t xml:space="preserve"> the </w:t>
      </w:r>
      <w:r w:rsidR="00A90F98">
        <w:t>new</w:t>
      </w:r>
      <w:r w:rsidR="005633DF">
        <w:t xml:space="preserve"> </w:t>
      </w:r>
      <w:r w:rsidR="00A90F98">
        <w:t>conditions</w:t>
      </w:r>
      <w:r w:rsidR="005633DF">
        <w:t xml:space="preserve"> and cannot </w:t>
      </w:r>
      <w:r w:rsidR="00A90F98">
        <w:t xml:space="preserve">claim </w:t>
      </w:r>
      <w:r w:rsidR="005633DF">
        <w:t>their privacy</w:t>
      </w:r>
      <w:r w:rsidR="00A90F98">
        <w:t xml:space="preserve"> (</w:t>
      </w:r>
      <w:r w:rsidR="00A90F98" w:rsidRPr="00BD2A03">
        <w:t>Bell v. Wolfish, 441 U.S. 520</w:t>
      </w:r>
      <w:r w:rsidR="00A90F98">
        <w:t>)</w:t>
      </w:r>
      <w:r w:rsidR="005633DF">
        <w:t>.</w:t>
      </w:r>
    </w:p>
    <w:p w:rsidR="00022112" w:rsidRDefault="00F3661C" w:rsidP="009D64E6">
      <w:pPr>
        <w:spacing w:line="480" w:lineRule="auto"/>
      </w:pPr>
      <w:r w:rsidRPr="00C51BE3">
        <w:rPr>
          <w:b/>
        </w:rPr>
        <w:t>Chapter: 13</w:t>
      </w:r>
      <w:r w:rsidR="00BD2A03">
        <w:t xml:space="preserve"> </w:t>
      </w:r>
    </w:p>
    <w:p w:rsidR="00721DB5" w:rsidRDefault="00F3661C" w:rsidP="00721DB5">
      <w:pPr>
        <w:spacing w:line="480" w:lineRule="auto"/>
        <w:ind w:firstLine="720"/>
      </w:pPr>
      <w:r>
        <w:t>The chapter discusses the trail and conviction part of the court proceed</w:t>
      </w:r>
      <w:r>
        <w:t xml:space="preserve">ings. Trial by jury is that type of law proceeding in which the criminal or the civil cases are not judged </w:t>
      </w:r>
      <w:r w:rsidR="00F930BA">
        <w:t>o</w:t>
      </w:r>
      <w:r>
        <w:t>r resolved by the judges, but by the jury.</w:t>
      </w:r>
      <w:r w:rsidR="00F930BA">
        <w:t xml:space="preserve"> The members of the jury reach the decision by analyzing the </w:t>
      </w:r>
      <w:r w:rsidR="00022112">
        <w:t>proceedings</w:t>
      </w:r>
      <w:r w:rsidR="00F930BA">
        <w:t xml:space="preserve">, as well as the claims and </w:t>
      </w:r>
      <w:r w:rsidR="00022112">
        <w:t>evidence</w:t>
      </w:r>
      <w:r w:rsidR="00F930BA">
        <w:t xml:space="preserve"> provided by both sides</w:t>
      </w:r>
      <w:r w:rsidR="00022112">
        <w:t xml:space="preserve"> </w:t>
      </w:r>
      <w:r w:rsidR="00022112" w:rsidRPr="00022112">
        <w:t>(Hans, 2017)</w:t>
      </w:r>
      <w:r w:rsidR="00F930BA">
        <w:t>.</w:t>
      </w:r>
    </w:p>
    <w:p w:rsidR="00D74223" w:rsidRDefault="00F3661C" w:rsidP="00721DB5">
      <w:pPr>
        <w:spacing w:line="480" w:lineRule="auto"/>
        <w:ind w:firstLine="720"/>
        <w:rPr>
          <w:rStyle w:val="termtext"/>
        </w:rPr>
      </w:pPr>
      <w:r>
        <w:t xml:space="preserve">The moral seriousness standard is that the right to a jury, provided by the sixth amendment to the criminal suspects, is also applicable to the cases of morally serious </w:t>
      </w:r>
      <w:r>
        <w:rPr>
          <w:rStyle w:val="termtext"/>
        </w:rPr>
        <w:t>misdemeanors. Although crimes are not quite ser</w:t>
      </w:r>
      <w:r>
        <w:rPr>
          <w:rStyle w:val="termtext"/>
        </w:rPr>
        <w:t xml:space="preserve">ious; however the right to a jury is extended to the misdemeanors, as well </w:t>
      </w:r>
      <w:r w:rsidRPr="00721DB5">
        <w:rPr>
          <w:rStyle w:val="termtext"/>
        </w:rPr>
        <w:t>(Herzog, &amp; Einat, 2016)</w:t>
      </w:r>
      <w:r>
        <w:rPr>
          <w:rStyle w:val="termtext"/>
        </w:rPr>
        <w:t>.</w:t>
      </w:r>
    </w:p>
    <w:p w:rsidR="00EE32B1" w:rsidRDefault="00F3661C" w:rsidP="00721DB5">
      <w:pPr>
        <w:spacing w:line="480" w:lineRule="auto"/>
        <w:ind w:firstLine="720"/>
        <w:rPr>
          <w:rStyle w:val="termtext"/>
        </w:rPr>
      </w:pPr>
      <w:r>
        <w:rPr>
          <w:rStyle w:val="termtext"/>
        </w:rPr>
        <w:t xml:space="preserve"> In the previous times, the twelve jury members were associated with </w:t>
      </w:r>
      <w:r w:rsidRPr="00EE32B1">
        <w:rPr>
          <w:rStyle w:val="termtext"/>
        </w:rPr>
        <w:t>Twelve Apostles</w:t>
      </w:r>
      <w:r>
        <w:rPr>
          <w:rStyle w:val="termtext"/>
        </w:rPr>
        <w:t xml:space="preserve"> of </w:t>
      </w:r>
      <w:r w:rsidR="00CD264B">
        <w:rPr>
          <w:rStyle w:val="termtext"/>
        </w:rPr>
        <w:t>Jesus</w:t>
      </w:r>
      <w:r>
        <w:rPr>
          <w:rStyle w:val="termtext"/>
        </w:rPr>
        <w:t xml:space="preserve">, which </w:t>
      </w:r>
      <w:r w:rsidR="00CD264B">
        <w:rPr>
          <w:rStyle w:val="termtext"/>
        </w:rPr>
        <w:t>became common</w:t>
      </w:r>
      <w:r>
        <w:rPr>
          <w:rStyle w:val="termtext"/>
        </w:rPr>
        <w:t xml:space="preserve"> practice </w:t>
      </w:r>
      <w:r w:rsidR="00CD264B">
        <w:rPr>
          <w:rStyle w:val="termtext"/>
        </w:rPr>
        <w:t>o</w:t>
      </w:r>
      <w:r>
        <w:rPr>
          <w:rStyle w:val="termtext"/>
        </w:rPr>
        <w:t>ver</w:t>
      </w:r>
      <w:r w:rsidR="00CD264B">
        <w:rPr>
          <w:rStyle w:val="termtext"/>
        </w:rPr>
        <w:t xml:space="preserve"> </w:t>
      </w:r>
      <w:r>
        <w:rPr>
          <w:rStyle w:val="termtext"/>
        </w:rPr>
        <w:t>time.</w:t>
      </w:r>
      <w:r w:rsidR="00CD264B">
        <w:rPr>
          <w:rStyle w:val="termtext"/>
        </w:rPr>
        <w:t xml:space="preserve"> However, the condition of the twelve member jury is not essential in modern times</w:t>
      </w:r>
      <w:r w:rsidR="00891440">
        <w:rPr>
          <w:rStyle w:val="termtext"/>
        </w:rPr>
        <w:t xml:space="preserve"> </w:t>
      </w:r>
      <w:r w:rsidR="00891440" w:rsidRPr="00891440">
        <w:rPr>
          <w:rStyle w:val="termtext"/>
        </w:rPr>
        <w:t>(Diamond, &amp; Rose, 2018)</w:t>
      </w:r>
      <w:r w:rsidR="00CD264B">
        <w:rPr>
          <w:rStyle w:val="termtext"/>
        </w:rPr>
        <w:t>.</w:t>
      </w:r>
    </w:p>
    <w:p w:rsidR="00847A65" w:rsidRDefault="00F3661C" w:rsidP="00847A65">
      <w:pPr>
        <w:spacing w:line="480" w:lineRule="auto"/>
        <w:ind w:firstLine="720"/>
      </w:pPr>
      <w:r>
        <w:rPr>
          <w:rStyle w:val="termtext"/>
        </w:rPr>
        <w:t xml:space="preserve">Jury selection is one of the most important </w:t>
      </w:r>
      <w:r w:rsidR="00AF5A8F">
        <w:rPr>
          <w:rStyle w:val="termtext"/>
        </w:rPr>
        <w:t>parts</w:t>
      </w:r>
      <w:r>
        <w:rPr>
          <w:rStyle w:val="termtext"/>
        </w:rPr>
        <w:t xml:space="preserve"> of the judicial proceedings</w:t>
      </w:r>
      <w:r w:rsidR="00AF5A8F">
        <w:rPr>
          <w:rStyle w:val="termtext"/>
        </w:rPr>
        <w:t>, which opt for a jury trial,</w:t>
      </w:r>
      <w:r>
        <w:rPr>
          <w:rStyle w:val="termtext"/>
        </w:rPr>
        <w:t xml:space="preserve"> in the </w:t>
      </w:r>
      <w:r w:rsidR="009A1EC6">
        <w:rPr>
          <w:rStyle w:val="termtext"/>
        </w:rPr>
        <w:t>United States</w:t>
      </w:r>
      <w:r w:rsidR="00AF5A8F">
        <w:rPr>
          <w:rStyle w:val="termtext"/>
        </w:rPr>
        <w:t xml:space="preserve"> of </w:t>
      </w:r>
      <w:r w:rsidR="000C506E">
        <w:rPr>
          <w:rStyle w:val="termtext"/>
        </w:rPr>
        <w:t xml:space="preserve">America. The members of the jury are randomly </w:t>
      </w:r>
      <w:r w:rsidR="009A1EC6">
        <w:rPr>
          <w:rStyle w:val="termtext"/>
        </w:rPr>
        <w:t>selected</w:t>
      </w:r>
      <w:r w:rsidR="000C506E">
        <w:rPr>
          <w:rStyle w:val="termtext"/>
        </w:rPr>
        <w:t xml:space="preserve"> </w:t>
      </w:r>
      <w:r w:rsidR="009A1EC6">
        <w:rPr>
          <w:rStyle w:val="termtext"/>
        </w:rPr>
        <w:t>f</w:t>
      </w:r>
      <w:r w:rsidR="000C506E">
        <w:rPr>
          <w:rStyle w:val="termtext"/>
        </w:rPr>
        <w:t xml:space="preserve">rom </w:t>
      </w:r>
      <w:r w:rsidR="009A1EC6">
        <w:rPr>
          <w:rStyle w:val="termtext"/>
        </w:rPr>
        <w:t>the</w:t>
      </w:r>
      <w:r w:rsidR="000C506E">
        <w:rPr>
          <w:rStyle w:val="termtext"/>
        </w:rPr>
        <w:t xml:space="preserve"> society </w:t>
      </w:r>
      <w:r w:rsidR="009A1EC6">
        <w:rPr>
          <w:rStyle w:val="termtext"/>
        </w:rPr>
        <w:t>through</w:t>
      </w:r>
      <w:r w:rsidR="000C506E">
        <w:rPr>
          <w:rStyle w:val="termtext"/>
        </w:rPr>
        <w:t xml:space="preserve"> their driver </w:t>
      </w:r>
      <w:r w:rsidR="009A1EC6">
        <w:rPr>
          <w:rStyle w:val="termtext"/>
        </w:rPr>
        <w:t>license</w:t>
      </w:r>
      <w:r w:rsidR="000C506E">
        <w:rPr>
          <w:rStyle w:val="termtext"/>
        </w:rPr>
        <w:t xml:space="preserve"> number or voter registration</w:t>
      </w:r>
      <w:r>
        <w:rPr>
          <w:rStyle w:val="termtext"/>
        </w:rPr>
        <w:t xml:space="preserve"> </w:t>
      </w:r>
      <w:r>
        <w:t>(Laufer, 2017)</w:t>
      </w:r>
      <w:r w:rsidR="000C506E">
        <w:rPr>
          <w:rStyle w:val="termtext"/>
        </w:rPr>
        <w:t>.</w:t>
      </w:r>
      <w:r w:rsidR="009A1EC6">
        <w:rPr>
          <w:rStyle w:val="termtext"/>
        </w:rPr>
        <w:t xml:space="preserve"> The selected people appear before the court and are questioned by the judges.</w:t>
      </w:r>
      <w:r w:rsidR="00D7209A">
        <w:rPr>
          <w:rStyle w:val="termtext"/>
        </w:rPr>
        <w:t xml:space="preserve"> In specific </w:t>
      </w:r>
      <w:r>
        <w:rPr>
          <w:rStyle w:val="termtext"/>
        </w:rPr>
        <w:t>cases,</w:t>
      </w:r>
      <w:r w:rsidR="00D7209A">
        <w:rPr>
          <w:rStyle w:val="termtext"/>
        </w:rPr>
        <w:t xml:space="preserve"> the judges may nullify the status of a jury member, based on his </w:t>
      </w:r>
      <w:r>
        <w:rPr>
          <w:rStyle w:val="termtext"/>
        </w:rPr>
        <w:t>strict</w:t>
      </w:r>
      <w:r w:rsidR="00D7209A">
        <w:rPr>
          <w:rStyle w:val="termtext"/>
        </w:rPr>
        <w:t xml:space="preserve"> </w:t>
      </w:r>
      <w:r>
        <w:rPr>
          <w:rStyle w:val="termtext"/>
        </w:rPr>
        <w:t>opposition of</w:t>
      </w:r>
      <w:r w:rsidR="00D7209A">
        <w:rPr>
          <w:rStyle w:val="termtext"/>
        </w:rPr>
        <w:t xml:space="preserve"> a </w:t>
      </w:r>
      <w:r>
        <w:rPr>
          <w:rStyle w:val="termtext"/>
        </w:rPr>
        <w:t>particular</w:t>
      </w:r>
      <w:r w:rsidR="00D7209A">
        <w:rPr>
          <w:rStyle w:val="termtext"/>
        </w:rPr>
        <w:t xml:space="preserve"> </w:t>
      </w:r>
      <w:r>
        <w:rPr>
          <w:rStyle w:val="termtext"/>
        </w:rPr>
        <w:t xml:space="preserve">concept </w:t>
      </w:r>
      <w:r w:rsidRPr="00847A65">
        <w:rPr>
          <w:rStyle w:val="termtext"/>
        </w:rPr>
        <w:t>(Semerdjian, &amp; Mulligan, 2019)</w:t>
      </w:r>
      <w:r w:rsidR="00D7209A">
        <w:rPr>
          <w:rStyle w:val="termtext"/>
        </w:rPr>
        <w:t>.</w:t>
      </w:r>
    </w:p>
    <w:p w:rsidR="00F50F33" w:rsidRPr="00F50F33" w:rsidRDefault="00F3661C" w:rsidP="00E03A5E">
      <w:pPr>
        <w:spacing w:line="480" w:lineRule="auto"/>
        <w:ind w:firstLine="720"/>
      </w:pPr>
      <w:r>
        <w:lastRenderedPageBreak/>
        <w:t>The f</w:t>
      </w:r>
      <w:r w:rsidRPr="00F50F33">
        <w:t>eedback on</w:t>
      </w:r>
      <w:r>
        <w:t xml:space="preserve"> the </w:t>
      </w:r>
      <w:r w:rsidRPr="00F50F33">
        <w:t xml:space="preserve">case </w:t>
      </w:r>
      <w:r>
        <w:t xml:space="preserve">of </w:t>
      </w:r>
      <w:r w:rsidRPr="00F50F33">
        <w:t xml:space="preserve">Snyder v </w:t>
      </w:r>
      <w:r w:rsidR="00AA4BB1" w:rsidRPr="00F50F33">
        <w:t xml:space="preserve">Louisiana </w:t>
      </w:r>
      <w:r>
        <w:t xml:space="preserve">is that the court has made the right decision that the prosecutors had </w:t>
      </w:r>
      <w:r w:rsidRPr="00847A65">
        <w:t>peremptorily</w:t>
      </w:r>
      <w:r>
        <w:t xml:space="preserve"> </w:t>
      </w:r>
      <w:r w:rsidR="007E2D48">
        <w:t>struck</w:t>
      </w:r>
      <w:r>
        <w:t xml:space="preserve"> the African </w:t>
      </w:r>
      <w:r w:rsidR="007E2D48">
        <w:t>American</w:t>
      </w:r>
      <w:r>
        <w:t xml:space="preserve"> jurors fro</w:t>
      </w:r>
      <w:r w:rsidR="007E2D48">
        <w:t>m</w:t>
      </w:r>
      <w:r>
        <w:t xml:space="preserve"> the jury.</w:t>
      </w:r>
      <w:r w:rsidR="007E2D48">
        <w:t xml:space="preserve"> The case was about a murder at the hands of an African </w:t>
      </w:r>
      <w:r w:rsidR="00E03A5E">
        <w:t>American</w:t>
      </w:r>
      <w:r w:rsidR="007E2D48">
        <w:t xml:space="preserve"> criminal and it was to be decided by the </w:t>
      </w:r>
      <w:r w:rsidR="00E03A5E">
        <w:t xml:space="preserve">five jury members, who were all African Americans. So the prosecutors </w:t>
      </w:r>
      <w:r w:rsidR="00E03A5E" w:rsidRPr="00847A65">
        <w:t>peremptorily</w:t>
      </w:r>
      <w:r w:rsidR="00E03A5E">
        <w:t xml:space="preserve"> strike all the jurors, while discriminating them and suspecting their sense of judgments on the basis of their race </w:t>
      </w:r>
      <w:r w:rsidR="00AA4BB1">
        <w:t>(</w:t>
      </w:r>
      <w:r w:rsidR="00AA4BB1" w:rsidRPr="00AA4BB1">
        <w:rPr>
          <w:i/>
          <w:iCs/>
        </w:rPr>
        <w:t>Snyder v. Louisiana</w:t>
      </w:r>
      <w:r w:rsidR="00AA4BB1" w:rsidRPr="00AA4BB1">
        <w:t>, 551 U.S. 1144</w:t>
      </w:r>
      <w:r w:rsidR="00AA4BB1">
        <w:t>)</w:t>
      </w:r>
    </w:p>
    <w:p w:rsidR="00917CAE" w:rsidRDefault="00F3661C" w:rsidP="009D64E6">
      <w:pPr>
        <w:spacing w:line="480" w:lineRule="auto"/>
      </w:pPr>
      <w:r w:rsidRPr="00C51BE3">
        <w:rPr>
          <w:b/>
        </w:rPr>
        <w:t>Chapter: 14</w:t>
      </w:r>
      <w:r w:rsidR="00BD2A03">
        <w:t xml:space="preserve"> </w:t>
      </w:r>
    </w:p>
    <w:p w:rsidR="00F50F33" w:rsidRDefault="00F3661C" w:rsidP="00822A42">
      <w:pPr>
        <w:spacing w:line="480" w:lineRule="auto"/>
        <w:ind w:firstLine="720"/>
      </w:pPr>
      <w:r>
        <w:t xml:space="preserve">This particular chapter has discussed </w:t>
      </w:r>
      <w:r w:rsidRPr="00B63E51">
        <w:t>after conviction sentencing appeals and Habeas Corpus</w:t>
      </w:r>
      <w:r>
        <w:t>.</w:t>
      </w:r>
      <w:r w:rsidR="00774119">
        <w:t xml:space="preserve"> The history of sentencing dates back to the establishment of the world societies, as it has been existing in the world since the time, the </w:t>
      </w:r>
      <w:r w:rsidR="00917CAE">
        <w:t>first</w:t>
      </w:r>
      <w:r w:rsidR="00774119">
        <w:t xml:space="preserve"> crime was </w:t>
      </w:r>
      <w:r w:rsidR="00917CAE">
        <w:t>committed</w:t>
      </w:r>
      <w:r w:rsidR="00774119">
        <w:t xml:space="preserve"> in the society</w:t>
      </w:r>
      <w:r w:rsidR="00822A42">
        <w:t xml:space="preserve"> </w:t>
      </w:r>
      <w:r w:rsidR="00BD2A03">
        <w:t>(</w:t>
      </w:r>
      <w:r w:rsidR="00BD2A03" w:rsidRPr="00BD2A03">
        <w:t>Gertner, 2010).</w:t>
      </w:r>
    </w:p>
    <w:p w:rsidR="00822A42" w:rsidRDefault="00F3661C" w:rsidP="00822A42">
      <w:pPr>
        <w:spacing w:line="480" w:lineRule="auto"/>
        <w:ind w:firstLine="720"/>
      </w:pPr>
      <w:r>
        <w:t xml:space="preserve">Sentencing discretion is one of the most important </w:t>
      </w:r>
      <w:r w:rsidR="00F1664E">
        <w:t>parts</w:t>
      </w:r>
      <w:r>
        <w:t xml:space="preserve"> o</w:t>
      </w:r>
      <w:r>
        <w:t xml:space="preserve">f the division of sentencing authority in the </w:t>
      </w:r>
      <w:r w:rsidR="00F1664E">
        <w:t>United States</w:t>
      </w:r>
      <w:r>
        <w:t xml:space="preserve"> of </w:t>
      </w:r>
      <w:r w:rsidR="00F1664E">
        <w:t>America</w:t>
      </w:r>
      <w:r>
        <w:t>.</w:t>
      </w:r>
      <w:r w:rsidR="00F1664E" w:rsidRPr="00F1664E">
        <w:t xml:space="preserve"> The indeterminate</w:t>
      </w:r>
      <w:r w:rsidR="00F1664E">
        <w:t xml:space="preserve"> sentencing system,</w:t>
      </w:r>
      <w:r w:rsidR="00F1664E" w:rsidRPr="00F1664E">
        <w:t xml:space="preserve"> </w:t>
      </w:r>
      <w:r w:rsidR="00F1664E">
        <w:t xml:space="preserve">statutory determinate system, and sentencing guideline system are the most important </w:t>
      </w:r>
      <w:r w:rsidR="007C0AB8">
        <w:t>division</w:t>
      </w:r>
      <w:r w:rsidR="00F1664E">
        <w:t xml:space="preserve"> of sentencing </w:t>
      </w:r>
      <w:r w:rsidR="007C0AB8">
        <w:t>authority</w:t>
      </w:r>
      <w:r w:rsidR="00F1664E">
        <w:t xml:space="preserve"> in the </w:t>
      </w:r>
      <w:r w:rsidR="007C0AB8">
        <w:t>United States</w:t>
      </w:r>
      <w:r w:rsidR="00F1664E">
        <w:t xml:space="preserve"> of </w:t>
      </w:r>
      <w:r w:rsidR="007C0AB8">
        <w:t xml:space="preserve">America </w:t>
      </w:r>
      <w:r w:rsidR="007C0AB8" w:rsidRPr="007C0AB8">
        <w:t>(Lubitz, &amp; Ross, 2001)</w:t>
      </w:r>
      <w:r w:rsidR="00F1664E">
        <w:t>.</w:t>
      </w:r>
    </w:p>
    <w:p w:rsidR="007C0AB8" w:rsidRDefault="00F3661C" w:rsidP="00822A42">
      <w:pPr>
        <w:spacing w:line="480" w:lineRule="auto"/>
        <w:ind w:firstLine="720"/>
      </w:pPr>
      <w:r>
        <w:t xml:space="preserve">The sentencing guidelines consist of the rules, which highlight the uniform sentencing of </w:t>
      </w:r>
      <w:r w:rsidR="006545FD">
        <w:t>different</w:t>
      </w:r>
      <w:r>
        <w:t xml:space="preserve"> types of cases in society</w:t>
      </w:r>
      <w:r w:rsidR="00AE35A7">
        <w:t xml:space="preserve"> (</w:t>
      </w:r>
      <w:r w:rsidR="00AE35A7" w:rsidRPr="00BD2A03">
        <w:t xml:space="preserve">Miller, &amp; Wright, </w:t>
      </w:r>
      <w:r w:rsidR="00AE35A7">
        <w:t>2019)</w:t>
      </w:r>
      <w:r>
        <w:t xml:space="preserve">. On the other hand, the mandatory minimum sentence highlights </w:t>
      </w:r>
      <w:r w:rsidR="006545FD">
        <w:t>t</w:t>
      </w:r>
      <w:r>
        <w:t>he minimum poss</w:t>
      </w:r>
      <w:r>
        <w:t xml:space="preserve">ible </w:t>
      </w:r>
      <w:r w:rsidR="006545FD">
        <w:t>sentence</w:t>
      </w:r>
      <w:r>
        <w:t xml:space="preserve"> of any crime, which the ruling judge has to </w:t>
      </w:r>
      <w:r w:rsidR="006545FD">
        <w:t>essentially</w:t>
      </w:r>
      <w:r>
        <w:t xml:space="preserve"> announce according to the case</w:t>
      </w:r>
      <w:r w:rsidR="006545FD">
        <w:t xml:space="preserve">. The judge does not have the authority to minimizing the </w:t>
      </w:r>
      <w:r w:rsidR="001F3338">
        <w:t xml:space="preserve">mandatory minimum sentence </w:t>
      </w:r>
      <w:r w:rsidR="001F3338" w:rsidRPr="001F3338">
        <w:t>(Berman, 2017)</w:t>
      </w:r>
      <w:r w:rsidR="001F3338">
        <w:t>.</w:t>
      </w:r>
    </w:p>
    <w:p w:rsidR="006E4D1B" w:rsidRDefault="00F3661C" w:rsidP="00822A42">
      <w:pPr>
        <w:spacing w:line="480" w:lineRule="auto"/>
        <w:ind w:firstLine="720"/>
      </w:pPr>
      <w:r>
        <w:t xml:space="preserve">The proportionality in sentencing is the concept which </w:t>
      </w:r>
      <w:r>
        <w:t xml:space="preserve">is supported by the constitution of the United States of America as well. The proportionality in sentencing means that all the </w:t>
      </w:r>
      <w:r>
        <w:lastRenderedPageBreak/>
        <w:t xml:space="preserve">criminals should be sentenced according to the </w:t>
      </w:r>
      <w:r w:rsidR="00A95C07">
        <w:t>punishment</w:t>
      </w:r>
      <w:r>
        <w:t xml:space="preserve"> which is applicable to </w:t>
      </w:r>
      <w:r w:rsidR="00A95C07">
        <w:t>their</w:t>
      </w:r>
      <w:r>
        <w:t xml:space="preserve"> level of crime</w:t>
      </w:r>
      <w:r w:rsidR="00A95C07">
        <w:t xml:space="preserve"> </w:t>
      </w:r>
      <w:r w:rsidR="00A95C07" w:rsidRPr="00A95C07">
        <w:t>(Schneider, 2012)</w:t>
      </w:r>
      <w:r>
        <w:t>.</w:t>
      </w:r>
    </w:p>
    <w:p w:rsidR="006A4B60" w:rsidRDefault="00F3661C" w:rsidP="00A101F9">
      <w:pPr>
        <w:spacing w:line="480" w:lineRule="auto"/>
        <w:ind w:firstLine="720"/>
      </w:pPr>
      <w:r>
        <w:t xml:space="preserve"> The feedback on the case of </w:t>
      </w:r>
      <w:r w:rsidRPr="00F50F33">
        <w:t>Lockyer Attorney General of California v Andrade</w:t>
      </w:r>
      <w:r>
        <w:t xml:space="preserve"> is that the court has made the right choice by declaring the sentence as not cruel and unjust.</w:t>
      </w:r>
      <w:r w:rsidR="00295341">
        <w:t xml:space="preserve"> The defender </w:t>
      </w:r>
      <w:r w:rsidR="00295341" w:rsidRPr="00F50F33">
        <w:t>Andrade</w:t>
      </w:r>
      <w:r w:rsidR="00295341">
        <w:t xml:space="preserve"> had claimed that he had received the unjustified </w:t>
      </w:r>
      <w:r w:rsidR="00925D3E">
        <w:t>punishment</w:t>
      </w:r>
      <w:r w:rsidR="00295341">
        <w:t>,</w:t>
      </w:r>
      <w:r w:rsidR="00925D3E">
        <w:t xml:space="preserve"> </w:t>
      </w:r>
      <w:r w:rsidR="00295341">
        <w:t xml:space="preserve">which the </w:t>
      </w:r>
      <w:r w:rsidR="00925D3E">
        <w:t>court</w:t>
      </w:r>
      <w:r w:rsidR="00295341">
        <w:t xml:space="preserve"> </w:t>
      </w:r>
      <w:r w:rsidR="00925D3E">
        <w:t>declared</w:t>
      </w:r>
      <w:r w:rsidR="00295341">
        <w:t xml:space="preserve"> t</w:t>
      </w:r>
      <w:r w:rsidR="00925D3E">
        <w:t>o</w:t>
      </w:r>
      <w:r w:rsidR="00295341">
        <w:t xml:space="preserve"> be according </w:t>
      </w:r>
      <w:r w:rsidR="00925D3E">
        <w:t>to</w:t>
      </w:r>
      <w:r w:rsidR="00295341">
        <w:t xml:space="preserve"> the constitution and was </w:t>
      </w:r>
      <w:r w:rsidR="00925D3E">
        <w:t>rightful</w:t>
      </w:r>
      <w:r w:rsidR="009428D1">
        <w:t xml:space="preserve"> (</w:t>
      </w:r>
      <w:r w:rsidR="009428D1" w:rsidRPr="00BD2A03">
        <w:rPr>
          <w:i/>
          <w:iCs/>
        </w:rPr>
        <w:t>Lockyer v. Andrade</w:t>
      </w:r>
      <w:r w:rsidR="009428D1">
        <w:t>, 538 U.S. 63)</w:t>
      </w:r>
      <w:r w:rsidR="00925D3E">
        <w:t>.</w:t>
      </w:r>
    </w:p>
    <w:p w:rsidR="00F50F33" w:rsidRPr="00F50F33" w:rsidRDefault="00F3661C" w:rsidP="00A101F9">
      <w:pPr>
        <w:spacing w:line="480" w:lineRule="auto"/>
        <w:ind w:firstLine="720"/>
      </w:pPr>
      <w:r>
        <w:t xml:space="preserve">Trial rights at sentencing mean that the suspect, criminal or the defender has the right to request for trial at the time of sentencing. At the </w:t>
      </w:r>
      <w:r>
        <w:t xml:space="preserve">time of arrest, the criminal suspects are informed of their rights and provided with the freedom of exercising the rights </w:t>
      </w:r>
      <w:r w:rsidR="00BD2A03">
        <w:t>(Michaels, 2002).</w:t>
      </w:r>
    </w:p>
    <w:p w:rsidR="00F50F33" w:rsidRDefault="00F3661C" w:rsidP="009D64E6">
      <w:pPr>
        <w:spacing w:line="480" w:lineRule="auto"/>
      </w:pPr>
      <w:r w:rsidRPr="00C51BE3">
        <w:rPr>
          <w:b/>
        </w:rPr>
        <w:t>Chapter: 15</w:t>
      </w:r>
    </w:p>
    <w:p w:rsidR="00B1525F" w:rsidRDefault="00F3661C" w:rsidP="00126B6A">
      <w:pPr>
        <w:spacing w:line="480" w:lineRule="auto"/>
        <w:ind w:firstLine="720"/>
      </w:pPr>
      <w:r>
        <w:t>This chapter has discussed the criminal procedure in the time of crisis.</w:t>
      </w:r>
      <w:r w:rsidR="00126B6A">
        <w:t xml:space="preserve"> According to the constitution of the United States of America, illegal immigrants cannot enjoy the rights granted to American citizens as well as immigrants in the country </w:t>
      </w:r>
      <w:r w:rsidR="00126B6A" w:rsidRPr="00126B6A">
        <w:t>(Grable, 1997)</w:t>
      </w:r>
      <w:r w:rsidR="00126B6A">
        <w:t>.</w:t>
      </w:r>
    </w:p>
    <w:p w:rsidR="00B1525F" w:rsidRDefault="00F3661C" w:rsidP="004B17F6">
      <w:pPr>
        <w:spacing w:line="480" w:lineRule="auto"/>
        <w:ind w:firstLine="720"/>
      </w:pPr>
      <w:r>
        <w:t xml:space="preserve"> The fourth amendment of the constitution of the United States of America provid</w:t>
      </w:r>
      <w:r w:rsidR="00160122">
        <w:t xml:space="preserve">es </w:t>
      </w:r>
      <w:r>
        <w:t>the right to its</w:t>
      </w:r>
      <w:r>
        <w:t xml:space="preserve"> </w:t>
      </w:r>
      <w:r w:rsidR="00160122">
        <w:t>citizens that they cannot be searched without probable cause</w:t>
      </w:r>
      <w:r w:rsidR="00267FB7">
        <w:t xml:space="preserve"> (</w:t>
      </w:r>
      <w:r w:rsidR="00267FB7" w:rsidRPr="00BD2A03">
        <w:t xml:space="preserve">Miller, Wright, Turner, </w:t>
      </w:r>
      <w:r w:rsidR="00267FB7">
        <w:t>&amp; Levine, 2019)</w:t>
      </w:r>
      <w:r w:rsidR="00160122">
        <w:t xml:space="preserve">. The </w:t>
      </w:r>
      <w:r w:rsidR="00267FB7">
        <w:t>amendment is</w:t>
      </w:r>
      <w:r w:rsidR="00160122">
        <w:t xml:space="preserve"> not applicable to the </w:t>
      </w:r>
      <w:r w:rsidR="00160122" w:rsidRPr="00F50F33">
        <w:t>“Deportable Aliens”</w:t>
      </w:r>
      <w:r w:rsidR="00160122">
        <w:t xml:space="preserve"> because of the fact that they are not the citizens of the </w:t>
      </w:r>
      <w:r w:rsidR="00267FB7">
        <w:t>United States</w:t>
      </w:r>
      <w:r w:rsidR="00160122">
        <w:t xml:space="preserve"> of </w:t>
      </w:r>
      <w:r w:rsidR="00267FB7">
        <w:t>America</w:t>
      </w:r>
      <w:r w:rsidR="00160122">
        <w:t xml:space="preserve">. </w:t>
      </w:r>
      <w:r w:rsidR="00267FB7">
        <w:t>Moreover</w:t>
      </w:r>
      <w:r w:rsidR="00160122">
        <w:t xml:space="preserve">, they do </w:t>
      </w:r>
      <w:r w:rsidR="00267FB7">
        <w:t>not</w:t>
      </w:r>
      <w:r w:rsidR="00160122">
        <w:t xml:space="preserve"> hold any legal </w:t>
      </w:r>
      <w:r w:rsidR="00267FB7">
        <w:t>status</w:t>
      </w:r>
      <w:r w:rsidR="00160122">
        <w:t xml:space="preserve"> </w:t>
      </w:r>
      <w:r w:rsidR="00267FB7">
        <w:t>in</w:t>
      </w:r>
      <w:r w:rsidR="00160122">
        <w:t xml:space="preserve"> the c</w:t>
      </w:r>
      <w:r w:rsidR="00267FB7">
        <w:t>ount</w:t>
      </w:r>
      <w:r w:rsidR="00160122">
        <w:t>ry, which can ensure their entitlem</w:t>
      </w:r>
      <w:r w:rsidR="00267FB7">
        <w:t>en</w:t>
      </w:r>
      <w:r w:rsidR="00160122">
        <w:t xml:space="preserve">t towards their rights granted by the </w:t>
      </w:r>
      <w:r w:rsidR="00267FB7">
        <w:t xml:space="preserve">country </w:t>
      </w:r>
      <w:r w:rsidR="00267FB7" w:rsidRPr="00267FB7">
        <w:t>(Scaperlanda, 1991)</w:t>
      </w:r>
      <w:r w:rsidR="00160122">
        <w:t>.</w:t>
      </w:r>
    </w:p>
    <w:p w:rsidR="00F50F33" w:rsidRPr="00F50F33" w:rsidRDefault="00F3661C" w:rsidP="004E26CA">
      <w:pPr>
        <w:spacing w:line="480" w:lineRule="auto"/>
        <w:ind w:firstLine="720"/>
      </w:pPr>
      <w:r>
        <w:t xml:space="preserve">The feedback on the case of U.S. v Martinez-Fuerte is that the court </w:t>
      </w:r>
      <w:r w:rsidR="002E41E3">
        <w:t>has</w:t>
      </w:r>
      <w:r>
        <w:t xml:space="preserve"> made the rightful decision of establishing the </w:t>
      </w:r>
      <w:r w:rsidR="002E41E3">
        <w:t>checkpoints</w:t>
      </w:r>
      <w:r>
        <w:t xml:space="preserve"> along the </w:t>
      </w:r>
      <w:r w:rsidR="002E41E3">
        <w:t>borderline</w:t>
      </w:r>
      <w:r>
        <w:t xml:space="preserve"> of </w:t>
      </w:r>
      <w:r w:rsidR="002E41E3">
        <w:t>Mexico</w:t>
      </w:r>
      <w:r>
        <w:t>.</w:t>
      </w:r>
      <w:r w:rsidR="002E41E3">
        <w:t xml:space="preserve"> It is considered the violation of the fourth amendment, however, it is not, because of the fact that searching on </w:t>
      </w:r>
      <w:r w:rsidR="002E41E3">
        <w:lastRenderedPageBreak/>
        <w:t xml:space="preserve">probable cause is allowed by the </w:t>
      </w:r>
      <w:r w:rsidR="0042370F">
        <w:t>amendment. Moreover, ensuring the safety of the citizens is an important duty of the border patrol and they have to keep check on the people passing through it, in order to ensure the peace and security of the region, which is a probable cause of  searching the people who pass through the checkpoints</w:t>
      </w:r>
      <w:r w:rsidR="004E26CA">
        <w:t xml:space="preserve"> </w:t>
      </w:r>
      <w:r w:rsidR="00BD2A03">
        <w:t>(</w:t>
      </w:r>
      <w:r w:rsidR="00BD2A03" w:rsidRPr="00BD2A03">
        <w:t>the United States v. Martinez-Fuerte, 428 U.S. 543</w:t>
      </w:r>
      <w:r w:rsidR="00BD2A03">
        <w:t>)</w:t>
      </w:r>
      <w:r w:rsidR="004E26CA">
        <w:t>.</w:t>
      </w:r>
    </w:p>
    <w:p w:rsidR="00F50F33" w:rsidRDefault="00F3661C" w:rsidP="009D64E6">
      <w:pPr>
        <w:spacing w:line="480" w:lineRule="auto"/>
      </w:pPr>
      <w:r>
        <w:br w:type="page"/>
      </w:r>
      <w:bookmarkStart w:id="0" w:name="_GoBack"/>
      <w:bookmarkEnd w:id="0"/>
    </w:p>
    <w:p w:rsidR="00F50F33" w:rsidRDefault="00F3661C" w:rsidP="009D64E6">
      <w:pPr>
        <w:spacing w:line="480" w:lineRule="auto"/>
      </w:pPr>
      <w:r>
        <w:lastRenderedPageBreak/>
        <w:t>References</w:t>
      </w:r>
    </w:p>
    <w:p w:rsidR="00BD2A03" w:rsidRDefault="00F3661C" w:rsidP="009D64E6">
      <w:pPr>
        <w:spacing w:line="480" w:lineRule="auto"/>
        <w:ind w:left="720" w:hanging="720"/>
      </w:pPr>
      <w:r w:rsidRPr="00BD2A03">
        <w:rPr>
          <w:i/>
          <w:iCs/>
        </w:rPr>
        <w:t>Bell v. Wolfish</w:t>
      </w:r>
      <w:r w:rsidRPr="00BD2A03">
        <w:t>, 441 U.S. 520, 99 S. Ct. 1861, 60 L. Ed. 2d 447 (1979).</w:t>
      </w:r>
    </w:p>
    <w:p w:rsidR="00BD2A03" w:rsidRPr="00BD2A03" w:rsidRDefault="00F3661C" w:rsidP="009D64E6">
      <w:pPr>
        <w:spacing w:line="480" w:lineRule="auto"/>
        <w:ind w:left="720" w:hanging="720"/>
      </w:pPr>
      <w:r w:rsidRPr="00BD2A03">
        <w:t>Berman, D. A. (2017). Sentencing guidelines. </w:t>
      </w:r>
      <w:r w:rsidRPr="00BD2A03">
        <w:rPr>
          <w:i/>
          <w:iCs/>
        </w:rPr>
        <w:t>Reforming criminal justice: A report of the</w:t>
      </w:r>
      <w:r w:rsidRPr="00BD2A03">
        <w:rPr>
          <w:i/>
          <w:iCs/>
        </w:rPr>
        <w:t xml:space="preserve"> Academy for Justice on bridging the gap between scholarship and reform</w:t>
      </w:r>
      <w:r w:rsidRPr="00BD2A03">
        <w:t>, </w:t>
      </w:r>
      <w:r w:rsidRPr="00BD2A03">
        <w:rPr>
          <w:i/>
          <w:iCs/>
        </w:rPr>
        <w:t>4</w:t>
      </w:r>
      <w:r w:rsidRPr="00BD2A03">
        <w:t>, 95-116.</w:t>
      </w:r>
    </w:p>
    <w:p w:rsidR="00F50F33" w:rsidRDefault="00F3661C" w:rsidP="009D64E6">
      <w:pPr>
        <w:spacing w:line="480" w:lineRule="auto"/>
        <w:ind w:left="720" w:hanging="720"/>
      </w:pPr>
      <w:r w:rsidRPr="00F50F33">
        <w:t>Capers, I. B. (2018). Criminal Procedure and the Good Citizen. </w:t>
      </w:r>
      <w:r w:rsidRPr="00F50F33">
        <w:rPr>
          <w:i/>
          <w:iCs/>
        </w:rPr>
        <w:t>Columbia Law Review</w:t>
      </w:r>
      <w:r w:rsidRPr="00F50F33">
        <w:t>, </w:t>
      </w:r>
      <w:r w:rsidRPr="00F50F33">
        <w:rPr>
          <w:i/>
          <w:iCs/>
        </w:rPr>
        <w:t>118</w:t>
      </w:r>
      <w:r w:rsidRPr="00F50F33">
        <w:t>(2), 653-712.</w:t>
      </w:r>
    </w:p>
    <w:p w:rsidR="009D64E6" w:rsidRDefault="00F3661C" w:rsidP="009D64E6">
      <w:pPr>
        <w:spacing w:line="480" w:lineRule="auto"/>
        <w:ind w:left="720" w:hanging="720"/>
      </w:pPr>
      <w:r w:rsidRPr="009D64E6">
        <w:t>Cook, J. G. (1970). Probable Cause to Arrest. </w:t>
      </w:r>
      <w:r w:rsidRPr="009D64E6">
        <w:rPr>
          <w:i/>
          <w:iCs/>
        </w:rPr>
        <w:t>Vand. L. Rev.</w:t>
      </w:r>
      <w:r w:rsidRPr="009D64E6">
        <w:t>, </w:t>
      </w:r>
      <w:r w:rsidRPr="009D64E6">
        <w:rPr>
          <w:i/>
          <w:iCs/>
        </w:rPr>
        <w:t>24</w:t>
      </w:r>
      <w:r w:rsidRPr="009D64E6">
        <w:t>, 317.</w:t>
      </w:r>
    </w:p>
    <w:p w:rsidR="009D64E6" w:rsidRDefault="00F3661C" w:rsidP="009D64E6">
      <w:pPr>
        <w:spacing w:line="480" w:lineRule="auto"/>
        <w:ind w:left="720" w:hanging="720"/>
      </w:pPr>
      <w:r w:rsidRPr="009D64E6">
        <w:t>Cole, G. F., Smith, C. E., &amp; DeJong, C. (2018). </w:t>
      </w:r>
      <w:r w:rsidRPr="009D64E6">
        <w:rPr>
          <w:i/>
          <w:iCs/>
        </w:rPr>
        <w:t>The American system of criminal justice</w:t>
      </w:r>
      <w:r w:rsidRPr="009D64E6">
        <w:t>. Cengage Learning.</w:t>
      </w:r>
    </w:p>
    <w:p w:rsidR="00AA4BB1" w:rsidRDefault="00F3661C" w:rsidP="009D64E6">
      <w:pPr>
        <w:spacing w:line="480" w:lineRule="auto"/>
        <w:ind w:left="720" w:hanging="720"/>
      </w:pPr>
      <w:r w:rsidRPr="00AA4BB1">
        <w:t>Diamond, S. S., &amp; Rose, M. R. (2018). The Contemporary American Jury. </w:t>
      </w:r>
      <w:r w:rsidRPr="00AA4BB1">
        <w:rPr>
          <w:i/>
          <w:iCs/>
        </w:rPr>
        <w:t>Annual Review of Law and Social Science</w:t>
      </w:r>
      <w:r w:rsidRPr="00AA4BB1">
        <w:t>, </w:t>
      </w:r>
      <w:r w:rsidRPr="00AA4BB1">
        <w:rPr>
          <w:i/>
          <w:iCs/>
        </w:rPr>
        <w:t>14</w:t>
      </w:r>
      <w:r w:rsidRPr="00AA4BB1">
        <w:t>, 239-258.</w:t>
      </w:r>
    </w:p>
    <w:p w:rsidR="00BD2A03" w:rsidRDefault="00F3661C" w:rsidP="009D64E6">
      <w:pPr>
        <w:spacing w:line="480" w:lineRule="auto"/>
        <w:ind w:left="720" w:hanging="720"/>
      </w:pPr>
      <w:r w:rsidRPr="00BD2A03">
        <w:t>Gertner, N. (2010). A Sho</w:t>
      </w:r>
      <w:r w:rsidRPr="00BD2A03">
        <w:t>rt History of American Sentencing: Too Little Law, Too Much Law, or Just Right. </w:t>
      </w:r>
      <w:r w:rsidRPr="00BD2A03">
        <w:rPr>
          <w:i/>
          <w:iCs/>
        </w:rPr>
        <w:t>J. Crim. L. &amp; Criminology</w:t>
      </w:r>
      <w:r w:rsidRPr="00BD2A03">
        <w:t>, </w:t>
      </w:r>
      <w:r w:rsidRPr="00BD2A03">
        <w:rPr>
          <w:i/>
          <w:iCs/>
        </w:rPr>
        <w:t>100</w:t>
      </w:r>
      <w:r w:rsidRPr="00BD2A03">
        <w:t>, 691.</w:t>
      </w:r>
    </w:p>
    <w:p w:rsidR="00BD2A03" w:rsidRDefault="00F3661C" w:rsidP="009D64E6">
      <w:pPr>
        <w:spacing w:line="480" w:lineRule="auto"/>
        <w:ind w:left="720" w:hanging="720"/>
      </w:pPr>
      <w:r w:rsidRPr="00BD2A03">
        <w:t>Grable, D. M. (1997). Personhood Under</w:t>
      </w:r>
      <w:r w:rsidRPr="00BD2A03">
        <w:t xml:space="preserve"> the Due Process Clause: A Constitutional Analysis of the Illegal Immigration Reform and Immigrant Responsibility Act of 1996. </w:t>
      </w:r>
      <w:r w:rsidRPr="00BD2A03">
        <w:rPr>
          <w:i/>
          <w:iCs/>
        </w:rPr>
        <w:t>Cornell L. Rev.</w:t>
      </w:r>
      <w:r w:rsidRPr="00BD2A03">
        <w:t>, </w:t>
      </w:r>
      <w:r w:rsidRPr="00BD2A03">
        <w:rPr>
          <w:i/>
          <w:iCs/>
        </w:rPr>
        <w:t>83</w:t>
      </w:r>
      <w:r w:rsidRPr="00BD2A03">
        <w:t>, 820.</w:t>
      </w:r>
    </w:p>
    <w:p w:rsidR="00AA4BB1" w:rsidRDefault="00F3661C" w:rsidP="009D64E6">
      <w:pPr>
        <w:spacing w:line="480" w:lineRule="auto"/>
        <w:ind w:left="720" w:hanging="720"/>
      </w:pPr>
      <w:r w:rsidRPr="00AA4BB1">
        <w:t xml:space="preserve">Hans, V. P. (2017). Trial by jury: the story of a legal transplant. </w:t>
      </w:r>
      <w:r w:rsidRPr="00AA4BB1">
        <w:rPr>
          <w:i/>
          <w:iCs/>
        </w:rPr>
        <w:t>Law &amp; Society Review</w:t>
      </w:r>
      <w:r w:rsidRPr="00AA4BB1">
        <w:t>, </w:t>
      </w:r>
      <w:r w:rsidRPr="00AA4BB1">
        <w:rPr>
          <w:i/>
          <w:iCs/>
        </w:rPr>
        <w:t>51</w:t>
      </w:r>
      <w:r w:rsidRPr="00AA4BB1">
        <w:t>(3), 471-49</w:t>
      </w:r>
      <w:r w:rsidRPr="00AA4BB1">
        <w:t>9.</w:t>
      </w:r>
    </w:p>
    <w:p w:rsidR="00AA4BB1" w:rsidRPr="00BD2A03" w:rsidRDefault="00F3661C" w:rsidP="009D64E6">
      <w:pPr>
        <w:spacing w:line="480" w:lineRule="auto"/>
        <w:ind w:left="720" w:hanging="720"/>
      </w:pPr>
      <w:r w:rsidRPr="00AA4BB1">
        <w:t>Herzog, S., &amp; Einat, T. (2016). Moral judgment, crime seriousness, and the relations between them: An exploratory study. </w:t>
      </w:r>
      <w:r w:rsidRPr="00AA4BB1">
        <w:rPr>
          <w:i/>
          <w:iCs/>
        </w:rPr>
        <w:t>Crime &amp; Delinquency</w:t>
      </w:r>
      <w:r w:rsidRPr="00AA4BB1">
        <w:t>, </w:t>
      </w:r>
      <w:r w:rsidRPr="00AA4BB1">
        <w:rPr>
          <w:i/>
          <w:iCs/>
        </w:rPr>
        <w:t>62</w:t>
      </w:r>
      <w:r w:rsidRPr="00AA4BB1">
        <w:t>(4), 470-500.</w:t>
      </w:r>
    </w:p>
    <w:p w:rsidR="00F50F33" w:rsidRDefault="00F3661C" w:rsidP="009D64E6">
      <w:pPr>
        <w:spacing w:line="480" w:lineRule="auto"/>
        <w:ind w:left="720" w:hanging="720"/>
      </w:pPr>
      <w:r w:rsidRPr="00F50F33">
        <w:lastRenderedPageBreak/>
        <w:t>Laufer, W. (2017). </w:t>
      </w:r>
      <w:r w:rsidRPr="00F50F33">
        <w:rPr>
          <w:i/>
          <w:iCs/>
        </w:rPr>
        <w:t>The criminology of criminal law</w:t>
      </w:r>
      <w:r w:rsidRPr="00F50F33">
        <w:t>. Routledge.</w:t>
      </w:r>
    </w:p>
    <w:p w:rsidR="00BD2A03" w:rsidRPr="00BD2A03" w:rsidRDefault="00F3661C" w:rsidP="009D64E6">
      <w:pPr>
        <w:spacing w:line="480" w:lineRule="auto"/>
        <w:ind w:left="720" w:hanging="720"/>
      </w:pPr>
      <w:r w:rsidRPr="00BD2A03">
        <w:rPr>
          <w:i/>
          <w:iCs/>
        </w:rPr>
        <w:t>Lockyer v. Andrade</w:t>
      </w:r>
      <w:r w:rsidRPr="00BD2A03">
        <w:t>, 538 U.S. 63,</w:t>
      </w:r>
      <w:r w:rsidRPr="00BD2A03">
        <w:t xml:space="preserve"> 123 S. Ct. 1166, 155 L. Ed. 2d 144 (2003).</w:t>
      </w:r>
    </w:p>
    <w:p w:rsidR="00BD2A03" w:rsidRPr="00BD2A03" w:rsidRDefault="00F3661C" w:rsidP="009D64E6">
      <w:pPr>
        <w:spacing w:line="480" w:lineRule="auto"/>
        <w:ind w:left="720" w:hanging="720"/>
      </w:pPr>
      <w:r w:rsidRPr="00BD2A03">
        <w:t>Lubitz, R. L., &amp; Ross, T. W. (2001). </w:t>
      </w:r>
      <w:r w:rsidRPr="00BD2A03">
        <w:rPr>
          <w:i/>
          <w:iCs/>
        </w:rPr>
        <w:t>Sentencing guidelines: Reflections on the future</w:t>
      </w:r>
      <w:r w:rsidRPr="00BD2A03">
        <w:t>. Washington, DC: US Department of Justice, Office of Justice Programs, National Institute of Justice.</w:t>
      </w:r>
    </w:p>
    <w:p w:rsidR="00BD2A03" w:rsidRPr="00BD2A03" w:rsidRDefault="00F3661C" w:rsidP="009D64E6">
      <w:pPr>
        <w:spacing w:line="480" w:lineRule="auto"/>
        <w:ind w:left="720" w:hanging="720"/>
      </w:pPr>
      <w:r w:rsidRPr="00BD2A03">
        <w:t xml:space="preserve">Michaels, A. C. (2002). </w:t>
      </w:r>
      <w:r w:rsidRPr="00BD2A03">
        <w:t>Trial Rights at Sentencing. </w:t>
      </w:r>
      <w:r w:rsidRPr="00BD2A03">
        <w:rPr>
          <w:i/>
          <w:iCs/>
        </w:rPr>
        <w:t>NCL Rev.</w:t>
      </w:r>
      <w:r w:rsidRPr="00BD2A03">
        <w:t>, </w:t>
      </w:r>
      <w:r w:rsidRPr="00BD2A03">
        <w:rPr>
          <w:i/>
          <w:iCs/>
        </w:rPr>
        <w:t>81</w:t>
      </w:r>
      <w:r w:rsidRPr="00BD2A03">
        <w:t>, 1771.</w:t>
      </w:r>
    </w:p>
    <w:p w:rsidR="00F50F33" w:rsidRDefault="00F3661C" w:rsidP="009D64E6">
      <w:pPr>
        <w:spacing w:line="480" w:lineRule="auto"/>
        <w:ind w:left="720" w:hanging="720"/>
      </w:pPr>
      <w:r w:rsidRPr="00F50F33">
        <w:t>Miller, M. L., &amp; Wright, R. F. (2019). </w:t>
      </w:r>
      <w:r w:rsidRPr="00F50F33">
        <w:rPr>
          <w:i/>
          <w:iCs/>
        </w:rPr>
        <w:t>Criminal Procedures: The Police</w:t>
      </w:r>
      <w:r w:rsidRPr="00F50F33">
        <w:t>. Aspen Publishers.</w:t>
      </w:r>
    </w:p>
    <w:p w:rsidR="00F50F33" w:rsidRDefault="00F3661C" w:rsidP="009D64E6">
      <w:pPr>
        <w:spacing w:line="480" w:lineRule="auto"/>
        <w:ind w:left="720" w:hanging="720"/>
      </w:pPr>
      <w:r w:rsidRPr="00F50F33">
        <w:t>Miller, M. L., Wright, R. F., Turner, J. I., &amp; Levine, K. L. (2019). </w:t>
      </w:r>
      <w:r w:rsidRPr="00F50F33">
        <w:rPr>
          <w:i/>
          <w:iCs/>
        </w:rPr>
        <w:t>Criminal Procedures: Cases, Statutes, and Executi</w:t>
      </w:r>
      <w:r w:rsidRPr="00F50F33">
        <w:rPr>
          <w:i/>
          <w:iCs/>
        </w:rPr>
        <w:t>ve Materials</w:t>
      </w:r>
      <w:r w:rsidRPr="00F50F33">
        <w:t>. Aspen Publishers.</w:t>
      </w:r>
    </w:p>
    <w:p w:rsidR="00BD2A03" w:rsidRDefault="00F3661C" w:rsidP="009D64E6">
      <w:pPr>
        <w:spacing w:line="480" w:lineRule="auto"/>
        <w:ind w:left="720" w:hanging="720"/>
      </w:pPr>
      <w:r w:rsidRPr="00BD2A03">
        <w:rPr>
          <w:i/>
          <w:iCs/>
        </w:rPr>
        <w:t>Rompilla v. Beard</w:t>
      </w:r>
      <w:r w:rsidRPr="00BD2A03">
        <w:t>, 545 U.S. 374, 125 S. Ct. 2456, 162 L. Ed. 2d 360 (2005).</w:t>
      </w:r>
    </w:p>
    <w:p w:rsidR="00BD2A03" w:rsidRDefault="00F3661C" w:rsidP="009D64E6">
      <w:pPr>
        <w:spacing w:line="480" w:lineRule="auto"/>
        <w:ind w:left="720" w:hanging="720"/>
      </w:pPr>
      <w:r w:rsidRPr="00BD2A03">
        <w:t>Scaperlanda, M. (1991). Domestic Fourth Amendment Rights of Aliens: To What Extent Do They Survive United States v. Verdugo-Urquidez, The. </w:t>
      </w:r>
      <w:r w:rsidRPr="00BD2A03">
        <w:rPr>
          <w:i/>
          <w:iCs/>
        </w:rPr>
        <w:t>Mo. L. Re</w:t>
      </w:r>
      <w:r w:rsidRPr="00BD2A03">
        <w:rPr>
          <w:i/>
          <w:iCs/>
        </w:rPr>
        <w:t>v.</w:t>
      </w:r>
      <w:r w:rsidRPr="00BD2A03">
        <w:t>, </w:t>
      </w:r>
      <w:r w:rsidRPr="00BD2A03">
        <w:rPr>
          <w:i/>
          <w:iCs/>
        </w:rPr>
        <w:t>56</w:t>
      </w:r>
      <w:r w:rsidRPr="00BD2A03">
        <w:t>, 213.</w:t>
      </w:r>
    </w:p>
    <w:p w:rsidR="00AA4BB1" w:rsidRDefault="00F3661C" w:rsidP="009D64E6">
      <w:pPr>
        <w:spacing w:line="480" w:lineRule="auto"/>
        <w:ind w:left="720" w:hanging="720"/>
      </w:pPr>
      <w:r w:rsidRPr="00AA4BB1">
        <w:t>Semerdjian, D., &amp; Mulligan, J. (2019). JURY SELECTION: The Often-Overlooked Make-It-or-Break-It Phase of a Trial. </w:t>
      </w:r>
      <w:r w:rsidRPr="00AA4BB1">
        <w:rPr>
          <w:i/>
          <w:iCs/>
        </w:rPr>
        <w:t>The Brief</w:t>
      </w:r>
      <w:r w:rsidRPr="00AA4BB1">
        <w:t>, </w:t>
      </w:r>
      <w:r w:rsidRPr="00AA4BB1">
        <w:rPr>
          <w:i/>
          <w:iCs/>
        </w:rPr>
        <w:t>48</w:t>
      </w:r>
      <w:r w:rsidRPr="00AA4BB1">
        <w:t>(2), 10-17.</w:t>
      </w:r>
    </w:p>
    <w:p w:rsidR="00AA4BB1" w:rsidRPr="00BD2A03" w:rsidRDefault="00F3661C" w:rsidP="009D64E6">
      <w:pPr>
        <w:spacing w:line="480" w:lineRule="auto"/>
        <w:ind w:left="720" w:hanging="720"/>
      </w:pPr>
      <w:r w:rsidRPr="00AA4BB1">
        <w:rPr>
          <w:i/>
          <w:iCs/>
        </w:rPr>
        <w:t>Snyder v. Louisiana</w:t>
      </w:r>
      <w:r w:rsidRPr="00AA4BB1">
        <w:t>, 551 U.S. 1144, 127 S. Ct. 3004, 168 L. Ed. 2d 726 (2007).</w:t>
      </w:r>
    </w:p>
    <w:p w:rsidR="00C51BE3" w:rsidRDefault="00F3661C" w:rsidP="009D64E6">
      <w:pPr>
        <w:spacing w:line="480" w:lineRule="auto"/>
        <w:ind w:left="720" w:hanging="720"/>
      </w:pPr>
      <w:r w:rsidRPr="00C51BE3">
        <w:t xml:space="preserve">Schneider, G. S. (2012). </w:t>
      </w:r>
      <w:r w:rsidRPr="00C51BE3">
        <w:t>Sentencing Proportionality in the States. </w:t>
      </w:r>
      <w:r w:rsidRPr="00C51BE3">
        <w:rPr>
          <w:i/>
          <w:iCs/>
        </w:rPr>
        <w:t>Ariz. L. Rev.</w:t>
      </w:r>
      <w:r w:rsidRPr="00C51BE3">
        <w:t>, </w:t>
      </w:r>
      <w:r w:rsidRPr="00C51BE3">
        <w:rPr>
          <w:i/>
          <w:iCs/>
        </w:rPr>
        <w:t>54</w:t>
      </w:r>
      <w:r w:rsidRPr="00C51BE3">
        <w:t>, 241.</w:t>
      </w:r>
    </w:p>
    <w:p w:rsidR="00AA2447" w:rsidRDefault="00F3661C" w:rsidP="009D64E6">
      <w:pPr>
        <w:spacing w:line="480" w:lineRule="auto"/>
        <w:ind w:left="720" w:hanging="720"/>
      </w:pPr>
      <w:r w:rsidRPr="00F50F33">
        <w:rPr>
          <w:i/>
          <w:iCs/>
        </w:rPr>
        <w:t>United States v. Martinez-Fuerte</w:t>
      </w:r>
      <w:r w:rsidRPr="00F50F33">
        <w:t>, 428 U.S. 543, 96 S. Ct. 3074, 49 L. Ed. 2d 1116 (1976).</w:t>
      </w:r>
    </w:p>
    <w:sectPr w:rsidR="00AA2447" w:rsidSect="00F50F3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1C" w:rsidRDefault="00F3661C">
      <w:pPr>
        <w:spacing w:after="0" w:line="240" w:lineRule="auto"/>
      </w:pPr>
      <w:r>
        <w:separator/>
      </w:r>
    </w:p>
  </w:endnote>
  <w:endnote w:type="continuationSeparator" w:id="0">
    <w:p w:rsidR="00F3661C" w:rsidRDefault="00F3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1C" w:rsidRDefault="00F3661C">
      <w:pPr>
        <w:spacing w:after="0" w:line="240" w:lineRule="auto"/>
      </w:pPr>
      <w:r>
        <w:separator/>
      </w:r>
    </w:p>
  </w:footnote>
  <w:footnote w:type="continuationSeparator" w:id="0">
    <w:p w:rsidR="00F3661C" w:rsidRDefault="00F36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52387184"/>
      <w:docPartObj>
        <w:docPartGallery w:val="Page Numbers (Top of Page)"/>
        <w:docPartUnique/>
      </w:docPartObj>
    </w:sdtPr>
    <w:sdtEndPr>
      <w:rPr>
        <w:noProof/>
      </w:rPr>
    </w:sdtEndPr>
    <w:sdtContent>
      <w:p w:rsidR="006545FD" w:rsidRPr="00F50F33" w:rsidRDefault="00F3661C" w:rsidP="00F50F33">
        <w:pPr>
          <w:pStyle w:val="Header"/>
          <w:jc w:val="right"/>
          <w:rPr>
            <w:sz w:val="20"/>
            <w:szCs w:val="20"/>
          </w:rPr>
        </w:pPr>
        <w:r w:rsidRPr="00F50F33">
          <w:rPr>
            <w:sz w:val="20"/>
            <w:szCs w:val="20"/>
          </w:rPr>
          <w:t>CRIMINAL PROCEDURE</w:t>
        </w:r>
        <w:r w:rsidRPr="00F50F33">
          <w:rPr>
            <w:sz w:val="20"/>
            <w:szCs w:val="20"/>
          </w:rPr>
          <w:tab/>
        </w:r>
        <w:r w:rsidRPr="00F50F33">
          <w:rPr>
            <w:sz w:val="20"/>
            <w:szCs w:val="20"/>
          </w:rPr>
          <w:tab/>
        </w:r>
        <w:r w:rsidRPr="00F50F33">
          <w:rPr>
            <w:sz w:val="20"/>
            <w:szCs w:val="20"/>
          </w:rPr>
          <w:fldChar w:fldCharType="begin"/>
        </w:r>
        <w:r w:rsidRPr="00F50F33">
          <w:rPr>
            <w:sz w:val="20"/>
            <w:szCs w:val="20"/>
          </w:rPr>
          <w:instrText xml:space="preserve"> PAGE   \* MERGEFORMAT </w:instrText>
        </w:r>
        <w:r w:rsidRPr="00F50F33">
          <w:rPr>
            <w:sz w:val="20"/>
            <w:szCs w:val="20"/>
          </w:rPr>
          <w:fldChar w:fldCharType="separate"/>
        </w:r>
        <w:r w:rsidR="00D5595A">
          <w:rPr>
            <w:noProof/>
            <w:sz w:val="20"/>
            <w:szCs w:val="20"/>
          </w:rPr>
          <w:t>6</w:t>
        </w:r>
        <w:r w:rsidRPr="00F50F33">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44781446"/>
      <w:docPartObj>
        <w:docPartGallery w:val="Page Numbers (Top of Page)"/>
        <w:docPartUnique/>
      </w:docPartObj>
    </w:sdtPr>
    <w:sdtEndPr>
      <w:rPr>
        <w:noProof/>
      </w:rPr>
    </w:sdtEndPr>
    <w:sdtContent>
      <w:p w:rsidR="006545FD" w:rsidRPr="00F50F33" w:rsidRDefault="00F3661C" w:rsidP="00F50F33">
        <w:pPr>
          <w:pStyle w:val="Header"/>
          <w:jc w:val="right"/>
          <w:rPr>
            <w:sz w:val="20"/>
            <w:szCs w:val="20"/>
          </w:rPr>
        </w:pPr>
        <w:r w:rsidRPr="00F50F33">
          <w:rPr>
            <w:sz w:val="20"/>
            <w:szCs w:val="20"/>
          </w:rPr>
          <w:t xml:space="preserve">Running Head: CRIMINAL PROCEDURE </w:t>
        </w:r>
        <w:r w:rsidRPr="00F50F33">
          <w:rPr>
            <w:sz w:val="20"/>
            <w:szCs w:val="20"/>
          </w:rPr>
          <w:tab/>
        </w:r>
        <w:r w:rsidRPr="00F50F33">
          <w:rPr>
            <w:sz w:val="20"/>
            <w:szCs w:val="20"/>
          </w:rPr>
          <w:tab/>
        </w:r>
        <w:r w:rsidRPr="00F50F33">
          <w:rPr>
            <w:sz w:val="20"/>
            <w:szCs w:val="20"/>
          </w:rPr>
          <w:fldChar w:fldCharType="begin"/>
        </w:r>
        <w:r w:rsidRPr="00F50F33">
          <w:rPr>
            <w:sz w:val="20"/>
            <w:szCs w:val="20"/>
          </w:rPr>
          <w:instrText xml:space="preserve"> PAGE   \* MERGEFORMAT </w:instrText>
        </w:r>
        <w:r w:rsidRPr="00F50F33">
          <w:rPr>
            <w:sz w:val="20"/>
            <w:szCs w:val="20"/>
          </w:rPr>
          <w:fldChar w:fldCharType="separate"/>
        </w:r>
        <w:r w:rsidR="00D5595A">
          <w:rPr>
            <w:noProof/>
            <w:sz w:val="20"/>
            <w:szCs w:val="20"/>
          </w:rPr>
          <w:t>1</w:t>
        </w:r>
        <w:r w:rsidRPr="00F50F33">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6B66"/>
    <w:multiLevelType w:val="hybridMultilevel"/>
    <w:tmpl w:val="B35A17EC"/>
    <w:lvl w:ilvl="0" w:tplc="69EE65CA">
      <w:start w:val="1"/>
      <w:numFmt w:val="bullet"/>
      <w:lvlText w:val=""/>
      <w:lvlJc w:val="left"/>
      <w:pPr>
        <w:ind w:left="720" w:hanging="360"/>
      </w:pPr>
      <w:rPr>
        <w:rFonts w:ascii="Symbol" w:hAnsi="Symbol" w:hint="default"/>
      </w:rPr>
    </w:lvl>
    <w:lvl w:ilvl="1" w:tplc="8C7616DA">
      <w:start w:val="1"/>
      <w:numFmt w:val="bullet"/>
      <w:lvlText w:val="o"/>
      <w:lvlJc w:val="left"/>
      <w:pPr>
        <w:ind w:left="1440" w:hanging="360"/>
      </w:pPr>
      <w:rPr>
        <w:rFonts w:ascii="Courier New" w:hAnsi="Courier New" w:cs="Courier New" w:hint="default"/>
      </w:rPr>
    </w:lvl>
    <w:lvl w:ilvl="2" w:tplc="EEE46856">
      <w:start w:val="1"/>
      <w:numFmt w:val="bullet"/>
      <w:lvlText w:val=""/>
      <w:lvlJc w:val="left"/>
      <w:pPr>
        <w:ind w:left="2160" w:hanging="360"/>
      </w:pPr>
      <w:rPr>
        <w:rFonts w:ascii="Wingdings" w:hAnsi="Wingdings" w:hint="default"/>
      </w:rPr>
    </w:lvl>
    <w:lvl w:ilvl="3" w:tplc="4B3839D8">
      <w:start w:val="1"/>
      <w:numFmt w:val="bullet"/>
      <w:lvlText w:val=""/>
      <w:lvlJc w:val="left"/>
      <w:pPr>
        <w:ind w:left="2880" w:hanging="360"/>
      </w:pPr>
      <w:rPr>
        <w:rFonts w:ascii="Symbol" w:hAnsi="Symbol" w:hint="default"/>
      </w:rPr>
    </w:lvl>
    <w:lvl w:ilvl="4" w:tplc="705E4D7A">
      <w:start w:val="1"/>
      <w:numFmt w:val="bullet"/>
      <w:lvlText w:val="o"/>
      <w:lvlJc w:val="left"/>
      <w:pPr>
        <w:ind w:left="3600" w:hanging="360"/>
      </w:pPr>
      <w:rPr>
        <w:rFonts w:ascii="Courier New" w:hAnsi="Courier New" w:cs="Courier New" w:hint="default"/>
      </w:rPr>
    </w:lvl>
    <w:lvl w:ilvl="5" w:tplc="C396C8E2">
      <w:start w:val="1"/>
      <w:numFmt w:val="bullet"/>
      <w:lvlText w:val=""/>
      <w:lvlJc w:val="left"/>
      <w:pPr>
        <w:ind w:left="4320" w:hanging="360"/>
      </w:pPr>
      <w:rPr>
        <w:rFonts w:ascii="Wingdings" w:hAnsi="Wingdings" w:hint="default"/>
      </w:rPr>
    </w:lvl>
    <w:lvl w:ilvl="6" w:tplc="3BFED972">
      <w:start w:val="1"/>
      <w:numFmt w:val="bullet"/>
      <w:lvlText w:val=""/>
      <w:lvlJc w:val="left"/>
      <w:pPr>
        <w:ind w:left="5040" w:hanging="360"/>
      </w:pPr>
      <w:rPr>
        <w:rFonts w:ascii="Symbol" w:hAnsi="Symbol" w:hint="default"/>
      </w:rPr>
    </w:lvl>
    <w:lvl w:ilvl="7" w:tplc="A29E2830">
      <w:start w:val="1"/>
      <w:numFmt w:val="bullet"/>
      <w:lvlText w:val="o"/>
      <w:lvlJc w:val="left"/>
      <w:pPr>
        <w:ind w:left="5760" w:hanging="360"/>
      </w:pPr>
      <w:rPr>
        <w:rFonts w:ascii="Courier New" w:hAnsi="Courier New" w:cs="Courier New" w:hint="default"/>
      </w:rPr>
    </w:lvl>
    <w:lvl w:ilvl="8" w:tplc="396C67B8">
      <w:start w:val="1"/>
      <w:numFmt w:val="bullet"/>
      <w:lvlText w:val=""/>
      <w:lvlJc w:val="left"/>
      <w:pPr>
        <w:ind w:left="6480" w:hanging="360"/>
      </w:pPr>
      <w:rPr>
        <w:rFonts w:ascii="Wingdings" w:hAnsi="Wingdings" w:hint="default"/>
      </w:rPr>
    </w:lvl>
  </w:abstractNum>
  <w:abstractNum w:abstractNumId="1">
    <w:nsid w:val="441B7971"/>
    <w:multiLevelType w:val="hybridMultilevel"/>
    <w:tmpl w:val="412CA75E"/>
    <w:lvl w:ilvl="0" w:tplc="FD52D4CE">
      <w:start w:val="1"/>
      <w:numFmt w:val="bullet"/>
      <w:lvlText w:val=""/>
      <w:lvlJc w:val="left"/>
      <w:pPr>
        <w:ind w:left="720" w:hanging="360"/>
      </w:pPr>
      <w:rPr>
        <w:rFonts w:ascii="Symbol" w:hAnsi="Symbol" w:hint="default"/>
      </w:rPr>
    </w:lvl>
    <w:lvl w:ilvl="1" w:tplc="78EA1B02">
      <w:start w:val="1"/>
      <w:numFmt w:val="bullet"/>
      <w:lvlText w:val="o"/>
      <w:lvlJc w:val="left"/>
      <w:pPr>
        <w:ind w:left="1440" w:hanging="360"/>
      </w:pPr>
      <w:rPr>
        <w:rFonts w:ascii="Courier New" w:hAnsi="Courier New" w:cs="Courier New" w:hint="default"/>
      </w:rPr>
    </w:lvl>
    <w:lvl w:ilvl="2" w:tplc="7180D6CE">
      <w:start w:val="1"/>
      <w:numFmt w:val="bullet"/>
      <w:lvlText w:val=""/>
      <w:lvlJc w:val="left"/>
      <w:pPr>
        <w:ind w:left="2160" w:hanging="360"/>
      </w:pPr>
      <w:rPr>
        <w:rFonts w:ascii="Wingdings" w:hAnsi="Wingdings" w:hint="default"/>
      </w:rPr>
    </w:lvl>
    <w:lvl w:ilvl="3" w:tplc="1812E4DC">
      <w:start w:val="1"/>
      <w:numFmt w:val="bullet"/>
      <w:lvlText w:val=""/>
      <w:lvlJc w:val="left"/>
      <w:pPr>
        <w:ind w:left="2880" w:hanging="360"/>
      </w:pPr>
      <w:rPr>
        <w:rFonts w:ascii="Symbol" w:hAnsi="Symbol" w:hint="default"/>
      </w:rPr>
    </w:lvl>
    <w:lvl w:ilvl="4" w:tplc="619AD940">
      <w:start w:val="1"/>
      <w:numFmt w:val="bullet"/>
      <w:lvlText w:val="o"/>
      <w:lvlJc w:val="left"/>
      <w:pPr>
        <w:ind w:left="3600" w:hanging="360"/>
      </w:pPr>
      <w:rPr>
        <w:rFonts w:ascii="Courier New" w:hAnsi="Courier New" w:cs="Courier New" w:hint="default"/>
      </w:rPr>
    </w:lvl>
    <w:lvl w:ilvl="5" w:tplc="1A383250">
      <w:start w:val="1"/>
      <w:numFmt w:val="bullet"/>
      <w:lvlText w:val=""/>
      <w:lvlJc w:val="left"/>
      <w:pPr>
        <w:ind w:left="4320" w:hanging="360"/>
      </w:pPr>
      <w:rPr>
        <w:rFonts w:ascii="Wingdings" w:hAnsi="Wingdings" w:hint="default"/>
      </w:rPr>
    </w:lvl>
    <w:lvl w:ilvl="6" w:tplc="A54E2B1C">
      <w:start w:val="1"/>
      <w:numFmt w:val="bullet"/>
      <w:lvlText w:val=""/>
      <w:lvlJc w:val="left"/>
      <w:pPr>
        <w:ind w:left="5040" w:hanging="360"/>
      </w:pPr>
      <w:rPr>
        <w:rFonts w:ascii="Symbol" w:hAnsi="Symbol" w:hint="default"/>
      </w:rPr>
    </w:lvl>
    <w:lvl w:ilvl="7" w:tplc="2EC49CF8">
      <w:start w:val="1"/>
      <w:numFmt w:val="bullet"/>
      <w:lvlText w:val="o"/>
      <w:lvlJc w:val="left"/>
      <w:pPr>
        <w:ind w:left="5760" w:hanging="360"/>
      </w:pPr>
      <w:rPr>
        <w:rFonts w:ascii="Courier New" w:hAnsi="Courier New" w:cs="Courier New" w:hint="default"/>
      </w:rPr>
    </w:lvl>
    <w:lvl w:ilvl="8" w:tplc="6BA8994E">
      <w:start w:val="1"/>
      <w:numFmt w:val="bullet"/>
      <w:lvlText w:val=""/>
      <w:lvlJc w:val="left"/>
      <w:pPr>
        <w:ind w:left="6480" w:hanging="360"/>
      </w:pPr>
      <w:rPr>
        <w:rFonts w:ascii="Wingdings" w:hAnsi="Wingdings" w:hint="default"/>
      </w:rPr>
    </w:lvl>
  </w:abstractNum>
  <w:abstractNum w:abstractNumId="2">
    <w:nsid w:val="52512D5F"/>
    <w:multiLevelType w:val="hybridMultilevel"/>
    <w:tmpl w:val="7ED0815C"/>
    <w:lvl w:ilvl="0" w:tplc="319C931A">
      <w:start w:val="1"/>
      <w:numFmt w:val="bullet"/>
      <w:lvlText w:val=""/>
      <w:lvlJc w:val="left"/>
      <w:pPr>
        <w:ind w:left="720" w:hanging="360"/>
      </w:pPr>
      <w:rPr>
        <w:rFonts w:ascii="Symbol" w:hAnsi="Symbol" w:hint="default"/>
      </w:rPr>
    </w:lvl>
    <w:lvl w:ilvl="1" w:tplc="B5EA5E9E">
      <w:start w:val="1"/>
      <w:numFmt w:val="bullet"/>
      <w:lvlText w:val="o"/>
      <w:lvlJc w:val="left"/>
      <w:pPr>
        <w:ind w:left="1440" w:hanging="360"/>
      </w:pPr>
      <w:rPr>
        <w:rFonts w:ascii="Courier New" w:hAnsi="Courier New" w:cs="Courier New" w:hint="default"/>
      </w:rPr>
    </w:lvl>
    <w:lvl w:ilvl="2" w:tplc="394222E0">
      <w:start w:val="1"/>
      <w:numFmt w:val="bullet"/>
      <w:lvlText w:val=""/>
      <w:lvlJc w:val="left"/>
      <w:pPr>
        <w:ind w:left="2160" w:hanging="360"/>
      </w:pPr>
      <w:rPr>
        <w:rFonts w:ascii="Wingdings" w:hAnsi="Wingdings" w:hint="default"/>
      </w:rPr>
    </w:lvl>
    <w:lvl w:ilvl="3" w:tplc="622CD214">
      <w:start w:val="1"/>
      <w:numFmt w:val="bullet"/>
      <w:lvlText w:val=""/>
      <w:lvlJc w:val="left"/>
      <w:pPr>
        <w:ind w:left="2880" w:hanging="360"/>
      </w:pPr>
      <w:rPr>
        <w:rFonts w:ascii="Symbol" w:hAnsi="Symbol" w:hint="default"/>
      </w:rPr>
    </w:lvl>
    <w:lvl w:ilvl="4" w:tplc="D688A7DC">
      <w:start w:val="1"/>
      <w:numFmt w:val="bullet"/>
      <w:lvlText w:val="o"/>
      <w:lvlJc w:val="left"/>
      <w:pPr>
        <w:ind w:left="3600" w:hanging="360"/>
      </w:pPr>
      <w:rPr>
        <w:rFonts w:ascii="Courier New" w:hAnsi="Courier New" w:cs="Courier New" w:hint="default"/>
      </w:rPr>
    </w:lvl>
    <w:lvl w:ilvl="5" w:tplc="48AEC85C">
      <w:start w:val="1"/>
      <w:numFmt w:val="bullet"/>
      <w:lvlText w:val=""/>
      <w:lvlJc w:val="left"/>
      <w:pPr>
        <w:ind w:left="4320" w:hanging="360"/>
      </w:pPr>
      <w:rPr>
        <w:rFonts w:ascii="Wingdings" w:hAnsi="Wingdings" w:hint="default"/>
      </w:rPr>
    </w:lvl>
    <w:lvl w:ilvl="6" w:tplc="F2AA20B2">
      <w:start w:val="1"/>
      <w:numFmt w:val="bullet"/>
      <w:lvlText w:val=""/>
      <w:lvlJc w:val="left"/>
      <w:pPr>
        <w:ind w:left="5040" w:hanging="360"/>
      </w:pPr>
      <w:rPr>
        <w:rFonts w:ascii="Symbol" w:hAnsi="Symbol" w:hint="default"/>
      </w:rPr>
    </w:lvl>
    <w:lvl w:ilvl="7" w:tplc="CC26814A">
      <w:start w:val="1"/>
      <w:numFmt w:val="bullet"/>
      <w:lvlText w:val="o"/>
      <w:lvlJc w:val="left"/>
      <w:pPr>
        <w:ind w:left="5760" w:hanging="360"/>
      </w:pPr>
      <w:rPr>
        <w:rFonts w:ascii="Courier New" w:hAnsi="Courier New" w:cs="Courier New" w:hint="default"/>
      </w:rPr>
    </w:lvl>
    <w:lvl w:ilvl="8" w:tplc="781AD87E">
      <w:start w:val="1"/>
      <w:numFmt w:val="bullet"/>
      <w:lvlText w:val=""/>
      <w:lvlJc w:val="left"/>
      <w:pPr>
        <w:ind w:left="6480" w:hanging="360"/>
      </w:pPr>
      <w:rPr>
        <w:rFonts w:ascii="Wingdings" w:hAnsi="Wingdings" w:hint="default"/>
      </w:rPr>
    </w:lvl>
  </w:abstractNum>
  <w:abstractNum w:abstractNumId="3">
    <w:nsid w:val="75923FEB"/>
    <w:multiLevelType w:val="hybridMultilevel"/>
    <w:tmpl w:val="C9380238"/>
    <w:lvl w:ilvl="0" w:tplc="DDD83EA0">
      <w:start w:val="1"/>
      <w:numFmt w:val="bullet"/>
      <w:lvlText w:val=""/>
      <w:lvlJc w:val="left"/>
      <w:pPr>
        <w:ind w:left="720" w:hanging="360"/>
      </w:pPr>
      <w:rPr>
        <w:rFonts w:ascii="Symbol" w:hAnsi="Symbol" w:hint="default"/>
      </w:rPr>
    </w:lvl>
    <w:lvl w:ilvl="1" w:tplc="D938BEEE">
      <w:start w:val="1"/>
      <w:numFmt w:val="bullet"/>
      <w:lvlText w:val="o"/>
      <w:lvlJc w:val="left"/>
      <w:pPr>
        <w:ind w:left="1440" w:hanging="360"/>
      </w:pPr>
      <w:rPr>
        <w:rFonts w:ascii="Courier New" w:hAnsi="Courier New" w:cs="Courier New" w:hint="default"/>
      </w:rPr>
    </w:lvl>
    <w:lvl w:ilvl="2" w:tplc="2724DA06">
      <w:start w:val="1"/>
      <w:numFmt w:val="bullet"/>
      <w:lvlText w:val=""/>
      <w:lvlJc w:val="left"/>
      <w:pPr>
        <w:ind w:left="2160" w:hanging="360"/>
      </w:pPr>
      <w:rPr>
        <w:rFonts w:ascii="Wingdings" w:hAnsi="Wingdings" w:hint="default"/>
      </w:rPr>
    </w:lvl>
    <w:lvl w:ilvl="3" w:tplc="C83059C0">
      <w:start w:val="1"/>
      <w:numFmt w:val="bullet"/>
      <w:lvlText w:val=""/>
      <w:lvlJc w:val="left"/>
      <w:pPr>
        <w:ind w:left="2880" w:hanging="360"/>
      </w:pPr>
      <w:rPr>
        <w:rFonts w:ascii="Symbol" w:hAnsi="Symbol" w:hint="default"/>
      </w:rPr>
    </w:lvl>
    <w:lvl w:ilvl="4" w:tplc="8B5E09EC">
      <w:start w:val="1"/>
      <w:numFmt w:val="bullet"/>
      <w:lvlText w:val="o"/>
      <w:lvlJc w:val="left"/>
      <w:pPr>
        <w:ind w:left="3600" w:hanging="360"/>
      </w:pPr>
      <w:rPr>
        <w:rFonts w:ascii="Courier New" w:hAnsi="Courier New" w:cs="Courier New" w:hint="default"/>
      </w:rPr>
    </w:lvl>
    <w:lvl w:ilvl="5" w:tplc="1BD06432">
      <w:start w:val="1"/>
      <w:numFmt w:val="bullet"/>
      <w:lvlText w:val=""/>
      <w:lvlJc w:val="left"/>
      <w:pPr>
        <w:ind w:left="4320" w:hanging="360"/>
      </w:pPr>
      <w:rPr>
        <w:rFonts w:ascii="Wingdings" w:hAnsi="Wingdings" w:hint="default"/>
      </w:rPr>
    </w:lvl>
    <w:lvl w:ilvl="6" w:tplc="37E265A0">
      <w:start w:val="1"/>
      <w:numFmt w:val="bullet"/>
      <w:lvlText w:val=""/>
      <w:lvlJc w:val="left"/>
      <w:pPr>
        <w:ind w:left="5040" w:hanging="360"/>
      </w:pPr>
      <w:rPr>
        <w:rFonts w:ascii="Symbol" w:hAnsi="Symbol" w:hint="default"/>
      </w:rPr>
    </w:lvl>
    <w:lvl w:ilvl="7" w:tplc="0F6E541C">
      <w:start w:val="1"/>
      <w:numFmt w:val="bullet"/>
      <w:lvlText w:val="o"/>
      <w:lvlJc w:val="left"/>
      <w:pPr>
        <w:ind w:left="5760" w:hanging="360"/>
      </w:pPr>
      <w:rPr>
        <w:rFonts w:ascii="Courier New" w:hAnsi="Courier New" w:cs="Courier New" w:hint="default"/>
      </w:rPr>
    </w:lvl>
    <w:lvl w:ilvl="8" w:tplc="1D9E8434">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33"/>
    <w:rsid w:val="00022112"/>
    <w:rsid w:val="000537F9"/>
    <w:rsid w:val="000C506E"/>
    <w:rsid w:val="000D7B05"/>
    <w:rsid w:val="00126B6A"/>
    <w:rsid w:val="00160122"/>
    <w:rsid w:val="001F0B40"/>
    <w:rsid w:val="001F3338"/>
    <w:rsid w:val="00240EE0"/>
    <w:rsid w:val="00267FB7"/>
    <w:rsid w:val="00295341"/>
    <w:rsid w:val="002E41E3"/>
    <w:rsid w:val="003B03EC"/>
    <w:rsid w:val="00406075"/>
    <w:rsid w:val="00412625"/>
    <w:rsid w:val="0042370F"/>
    <w:rsid w:val="004B17F6"/>
    <w:rsid w:val="004D3E7B"/>
    <w:rsid w:val="004E26CA"/>
    <w:rsid w:val="005633DF"/>
    <w:rsid w:val="005C14F6"/>
    <w:rsid w:val="006545FD"/>
    <w:rsid w:val="006A4B60"/>
    <w:rsid w:val="006D5C35"/>
    <w:rsid w:val="006E4D1B"/>
    <w:rsid w:val="00721DB5"/>
    <w:rsid w:val="00774119"/>
    <w:rsid w:val="007C0AB8"/>
    <w:rsid w:val="007C45EB"/>
    <w:rsid w:val="007E2D48"/>
    <w:rsid w:val="00822A42"/>
    <w:rsid w:val="008465F5"/>
    <w:rsid w:val="00847A65"/>
    <w:rsid w:val="00891440"/>
    <w:rsid w:val="00917CAE"/>
    <w:rsid w:val="00925D3E"/>
    <w:rsid w:val="009428D1"/>
    <w:rsid w:val="00990106"/>
    <w:rsid w:val="009A1EC6"/>
    <w:rsid w:val="009D64E6"/>
    <w:rsid w:val="00A101F9"/>
    <w:rsid w:val="00A624AE"/>
    <w:rsid w:val="00A804F1"/>
    <w:rsid w:val="00A90F98"/>
    <w:rsid w:val="00A95C07"/>
    <w:rsid w:val="00AA2447"/>
    <w:rsid w:val="00AA4BB1"/>
    <w:rsid w:val="00AD2314"/>
    <w:rsid w:val="00AE35A7"/>
    <w:rsid w:val="00AF5A8F"/>
    <w:rsid w:val="00B1525F"/>
    <w:rsid w:val="00B62EE3"/>
    <w:rsid w:val="00B63E51"/>
    <w:rsid w:val="00BD2A03"/>
    <w:rsid w:val="00C51BE3"/>
    <w:rsid w:val="00CD264B"/>
    <w:rsid w:val="00D47B44"/>
    <w:rsid w:val="00D5595A"/>
    <w:rsid w:val="00D7209A"/>
    <w:rsid w:val="00D74223"/>
    <w:rsid w:val="00E03A5E"/>
    <w:rsid w:val="00E67FE6"/>
    <w:rsid w:val="00EE32B1"/>
    <w:rsid w:val="00F1664E"/>
    <w:rsid w:val="00F3661C"/>
    <w:rsid w:val="00F50F33"/>
    <w:rsid w:val="00F82AA4"/>
    <w:rsid w:val="00F9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33"/>
  </w:style>
  <w:style w:type="paragraph" w:styleId="Footer">
    <w:name w:val="footer"/>
    <w:basedOn w:val="Normal"/>
    <w:link w:val="FooterChar"/>
    <w:uiPriority w:val="99"/>
    <w:unhideWhenUsed/>
    <w:rsid w:val="00F5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33"/>
  </w:style>
  <w:style w:type="character" w:customStyle="1" w:styleId="termtext">
    <w:name w:val="termtext"/>
    <w:basedOn w:val="DefaultParagraphFont"/>
    <w:rsid w:val="00721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33"/>
  </w:style>
  <w:style w:type="paragraph" w:styleId="Footer">
    <w:name w:val="footer"/>
    <w:basedOn w:val="Normal"/>
    <w:link w:val="FooterChar"/>
    <w:uiPriority w:val="99"/>
    <w:unhideWhenUsed/>
    <w:rsid w:val="00F5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33"/>
  </w:style>
  <w:style w:type="character" w:customStyle="1" w:styleId="termtext">
    <w:name w:val="termtext"/>
    <w:basedOn w:val="DefaultParagraphFont"/>
    <w:rsid w:val="0072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2019-04-17T20:19:00Z</dcterms:created>
  <dcterms:modified xsi:type="dcterms:W3CDTF">2019-04-17T20:19:00Z</dcterms:modified>
</cp:coreProperties>
</file>