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04A24" w14:textId="0CBBED94" w:rsidR="001835B9" w:rsidRDefault="00926BA4">
      <w:pPr>
        <w:pStyle w:val="NoSpacing"/>
      </w:pPr>
      <w:bookmarkStart w:id="0" w:name="_GoBack"/>
      <w:bookmarkEnd w:id="0"/>
      <w:r>
        <w:t>Emanuel Llano</w:t>
      </w:r>
    </w:p>
    <w:p w14:paraId="30E8F2B0" w14:textId="77777777" w:rsidR="00E614DD" w:rsidRDefault="00926BA4">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77777777" w:rsidR="00E614DD" w:rsidRDefault="00926BA4">
      <w:pPr>
        <w:pStyle w:val="NoSpacing"/>
      </w:pPr>
      <w:r w:rsidRPr="001835B9">
        <w:t>Art 101</w:t>
      </w:r>
    </w:p>
    <w:p w14:paraId="38CCADD9" w14:textId="154B9300" w:rsidR="00E614DD" w:rsidRDefault="00926BA4">
      <w:pPr>
        <w:pStyle w:val="NoSpacing"/>
      </w:pPr>
      <w:r>
        <w:t>29</w:t>
      </w:r>
      <w:r w:rsidR="005E7D70">
        <w:t xml:space="preserve"> </w:t>
      </w:r>
      <w:r>
        <w:t>October</w:t>
      </w:r>
      <w:r w:rsidR="005E7D70">
        <w:t xml:space="preserve"> </w:t>
      </w:r>
      <w:r>
        <w:t>2019</w:t>
      </w:r>
    </w:p>
    <w:p w14:paraId="1F362B16" w14:textId="51598F85" w:rsidR="001835B9" w:rsidRDefault="00926BA4" w:rsidP="001835B9">
      <w:pPr>
        <w:pStyle w:val="Title"/>
      </w:pPr>
      <w:r>
        <w:t xml:space="preserve"> </w:t>
      </w:r>
      <w:r w:rsidRPr="001835B9">
        <w:t>Research Essay</w:t>
      </w:r>
      <w:r w:rsidR="00D41F1A">
        <w:t xml:space="preserve">: Community as Cultural Opportunity </w:t>
      </w:r>
    </w:p>
    <w:p w14:paraId="0DF2B11F" w14:textId="1DCCB47E" w:rsidR="00D41F1A" w:rsidRPr="00BE4709" w:rsidRDefault="00926BA4" w:rsidP="00D41F1A">
      <w:pPr>
        <w:jc w:val="both"/>
        <w:rPr>
          <w:rFonts w:ascii="Times New Roman" w:hAnsi="Times New Roman" w:cs="Times New Roman"/>
          <w:color w:val="000000" w:themeColor="text1"/>
        </w:rPr>
      </w:pPr>
      <w:r w:rsidRPr="001E68BE">
        <w:t xml:space="preserve"> </w:t>
      </w:r>
      <w:r w:rsidRPr="00BE4709">
        <w:rPr>
          <w:rFonts w:ascii="Times New Roman" w:hAnsi="Times New Roman" w:cs="Times New Roman"/>
          <w:color w:val="000000" w:themeColor="text1"/>
        </w:rPr>
        <w:t>There is rising attention in the practice of environmental design to decrease the occurrence of definite kinds of unlawful activity. Crime anticipation methods based on efforts to recognize communal, mental and commercial backgrounds of delinquency have un</w:t>
      </w:r>
      <w:r w:rsidRPr="00BE4709">
        <w:rPr>
          <w:rFonts w:ascii="Times New Roman" w:hAnsi="Times New Roman" w:cs="Times New Roman"/>
          <w:color w:val="000000" w:themeColor="text1"/>
        </w:rPr>
        <w:t>successful to produce noteworthy practical outcomes. The environmental design method appears to propose the option of more or less instant pay-offs in the relation of crime decline. It undertakes that considerable criminal action is spontaneous and the out</w:t>
      </w:r>
      <w:r w:rsidRPr="00BE4709">
        <w:rPr>
          <w:rFonts w:ascii="Times New Roman" w:hAnsi="Times New Roman" w:cs="Times New Roman"/>
          <w:color w:val="000000" w:themeColor="text1"/>
        </w:rPr>
        <w:t>come of chance rather than cautious arrangement</w:t>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(Cohen, 2018).</w:t>
      </w:r>
      <w:r w:rsidRPr="00BE4709">
        <w:rPr>
          <w:rFonts w:ascii="Times New Roman" w:hAnsi="Times New Roman" w:cs="Times New Roman"/>
          <w:color w:val="000000" w:themeColor="text1"/>
        </w:rPr>
        <w:t xml:space="preserve"> It is also assumed that by decreasing opportunities, consequently, one decreases crime.</w:t>
      </w:r>
    </w:p>
    <w:p w14:paraId="3640ECFC" w14:textId="6F6501A3" w:rsidR="00D41F1A" w:rsidRPr="00BE4709" w:rsidRDefault="00926BA4" w:rsidP="00D41F1A">
      <w:pPr>
        <w:jc w:val="both"/>
        <w:rPr>
          <w:rFonts w:ascii="Times New Roman" w:hAnsi="Times New Roman" w:cs="Times New Roman"/>
          <w:color w:val="000000" w:themeColor="text1"/>
        </w:rPr>
      </w:pPr>
      <w:r w:rsidRPr="00BE4709">
        <w:rPr>
          <w:rFonts w:ascii="Times New Roman" w:hAnsi="Times New Roman" w:cs="Times New Roman"/>
          <w:color w:val="000000" w:themeColor="text1"/>
        </w:rPr>
        <w:t>Investigators have established a link of crime and the terror of crime to be connected to demographic and</w:t>
      </w:r>
      <w:r w:rsidRPr="00BE4709">
        <w:rPr>
          <w:rFonts w:ascii="Times New Roman" w:hAnsi="Times New Roman" w:cs="Times New Roman"/>
          <w:color w:val="000000" w:themeColor="text1"/>
        </w:rPr>
        <w:t xml:space="preserve"> other communal variables</w:t>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(Gecer et al., 2018).</w:t>
      </w:r>
      <w:r w:rsidRPr="00BE4709">
        <w:rPr>
          <w:rFonts w:ascii="Times New Roman" w:hAnsi="Times New Roman" w:cs="Times New Roman"/>
          <w:color w:val="000000" w:themeColor="text1"/>
        </w:rPr>
        <w:t xml:space="preserve"> Earlier study has suggested</w:t>
      </w:r>
      <w:r>
        <w:rPr>
          <w:rFonts w:ascii="Times New Roman" w:hAnsi="Times New Roman" w:cs="Times New Roman"/>
          <w:color w:val="000000" w:themeColor="text1"/>
        </w:rPr>
        <w:t xml:space="preserve"> that the level of </w:t>
      </w:r>
      <w:r w:rsidRPr="00BE4709">
        <w:rPr>
          <w:rFonts w:ascii="Times New Roman" w:hAnsi="Times New Roman" w:cs="Times New Roman"/>
          <w:color w:val="000000" w:themeColor="text1"/>
        </w:rPr>
        <w:t>misconduct in a community is meaningfully connected to its associates' schooling, revenue</w:t>
      </w:r>
      <w:r>
        <w:rPr>
          <w:rFonts w:ascii="Times New Roman" w:hAnsi="Times New Roman" w:cs="Times New Roman"/>
          <w:color w:val="000000" w:themeColor="text1"/>
        </w:rPr>
        <w:t xml:space="preserve">, </w:t>
      </w:r>
      <w:r w:rsidRPr="00BE4709">
        <w:rPr>
          <w:rFonts w:ascii="Times New Roman" w:hAnsi="Times New Roman" w:cs="Times New Roman"/>
          <w:color w:val="000000" w:themeColor="text1"/>
        </w:rPr>
        <w:t>ethnic makeup, age, and interval of placement. Crime is additionally pr</w:t>
      </w:r>
      <w:r w:rsidRPr="00BE4709">
        <w:rPr>
          <w:rFonts w:ascii="Times New Roman" w:hAnsi="Times New Roman" w:cs="Times New Roman"/>
          <w:color w:val="000000" w:themeColor="text1"/>
        </w:rPr>
        <w:t>edominant in zones</w:t>
      </w:r>
      <w:r>
        <w:rPr>
          <w:rFonts w:ascii="Times New Roman" w:hAnsi="Times New Roman" w:cs="Times New Roman"/>
          <w:color w:val="000000" w:themeColor="text1"/>
        </w:rPr>
        <w:t xml:space="preserve"> where </w:t>
      </w:r>
      <w:r w:rsidRPr="00BE4709">
        <w:rPr>
          <w:rFonts w:ascii="Times New Roman" w:hAnsi="Times New Roman" w:cs="Times New Roman"/>
          <w:color w:val="000000" w:themeColor="text1"/>
        </w:rPr>
        <w:t>inhabitants have subordinate levels of schooling and revenue, are young, are associates</w:t>
      </w:r>
      <w:r>
        <w:rPr>
          <w:rFonts w:ascii="Times New Roman" w:hAnsi="Times New Roman" w:cs="Times New Roman"/>
          <w:color w:val="000000" w:themeColor="text1"/>
        </w:rPr>
        <w:t xml:space="preserve"> of </w:t>
      </w:r>
      <w:r w:rsidRPr="00BE4709">
        <w:rPr>
          <w:rFonts w:ascii="Times New Roman" w:hAnsi="Times New Roman" w:cs="Times New Roman"/>
          <w:color w:val="000000" w:themeColor="text1"/>
        </w:rPr>
        <w:t>minority societies, and are extremely mobile.</w:t>
      </w:r>
      <w:r>
        <w:rPr>
          <w:rFonts w:ascii="Times New Roman" w:hAnsi="Times New Roman" w:cs="Times New Roman"/>
          <w:color w:val="000000" w:themeColor="text1"/>
        </w:rPr>
        <w:t xml:space="preserve"> </w:t>
      </w:r>
      <w:r w:rsidRPr="00BE4709">
        <w:rPr>
          <w:rFonts w:ascii="Times New Roman" w:hAnsi="Times New Roman" w:cs="Times New Roman"/>
          <w:color w:val="000000" w:themeColor="text1"/>
        </w:rPr>
        <w:t>Routine activity theory is a sub-field of crime opportunity theory that centers on circumstanc</w:t>
      </w:r>
      <w:r w:rsidRPr="00BE4709">
        <w:rPr>
          <w:rFonts w:ascii="Times New Roman" w:hAnsi="Times New Roman" w:cs="Times New Roman"/>
          <w:color w:val="000000" w:themeColor="text1"/>
        </w:rPr>
        <w:t>es of crimes</w:t>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(Matza, 2017).</w:t>
      </w:r>
      <w:r w:rsidRPr="00BE4709">
        <w:rPr>
          <w:rFonts w:ascii="Times New Roman" w:hAnsi="Times New Roman" w:cs="Times New Roman"/>
          <w:color w:val="000000" w:themeColor="text1"/>
        </w:rPr>
        <w:t xml:space="preserve"> It was initially projected by Marcus Felson and Lawrence E. Cohen</w:t>
      </w:r>
      <w:r>
        <w:rPr>
          <w:rFonts w:ascii="Times New Roman" w:hAnsi="Times New Roman" w:cs="Times New Roman"/>
          <w:color w:val="000000" w:themeColor="text1"/>
        </w:rPr>
        <w:t xml:space="preserve"> in their </w:t>
      </w:r>
      <w:r w:rsidRPr="00BE4709">
        <w:rPr>
          <w:rFonts w:ascii="Times New Roman" w:hAnsi="Times New Roman" w:cs="Times New Roman"/>
          <w:color w:val="000000" w:themeColor="text1"/>
        </w:rPr>
        <w:t>description of increasing misconduct ratio in the United States 1947 – 1974. The routine activity theory evaluates crime as an incident strictly narrates</w:t>
      </w:r>
      <w:r w:rsidRPr="00BE4709">
        <w:rPr>
          <w:rFonts w:ascii="Times New Roman" w:hAnsi="Times New Roman" w:cs="Times New Roman"/>
          <w:color w:val="000000" w:themeColor="text1"/>
        </w:rPr>
        <w:t xml:space="preserve"> crime to its atmosphere and highlights its environmental process,</w:t>
      </w:r>
      <w:r w:rsidRPr="00BE4709">
        <w:rPr>
          <w:rFonts w:ascii="Times New Roman" w:hAnsi="Times New Roman" w:cs="Times New Roman"/>
          <w:color w:val="000000" w:themeColor="text1"/>
          <w:vertAlign w:val="superscript"/>
        </w:rPr>
        <w:t xml:space="preserve"> </w:t>
      </w:r>
      <w:r w:rsidRPr="00BE4709">
        <w:rPr>
          <w:rFonts w:ascii="Times New Roman" w:hAnsi="Times New Roman" w:cs="Times New Roman"/>
          <w:color w:val="000000" w:themeColor="text1"/>
        </w:rPr>
        <w:t xml:space="preserve">thus distracting theoretical consideration away from mere criminals. Gresham Sykes and David Matza established </w:t>
      </w:r>
      <w:r w:rsidRPr="00BE4709">
        <w:rPr>
          <w:rFonts w:ascii="Times New Roman" w:hAnsi="Times New Roman" w:cs="Times New Roman"/>
          <w:color w:val="000000" w:themeColor="text1"/>
        </w:rPr>
        <w:lastRenderedPageBreak/>
        <w:t xml:space="preserve">a neutralization theory to define how criminals refract feelings of guilt and </w:t>
      </w:r>
      <w:r w:rsidRPr="00BE4709">
        <w:rPr>
          <w:rFonts w:ascii="Times New Roman" w:hAnsi="Times New Roman" w:cs="Times New Roman"/>
          <w:color w:val="000000" w:themeColor="text1"/>
        </w:rPr>
        <w:t>disgrace</w:t>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(Schweitzer et al., 1999).</w:t>
      </w:r>
      <w:r w:rsidRPr="00BE4709">
        <w:rPr>
          <w:rFonts w:ascii="Times New Roman" w:hAnsi="Times New Roman" w:cs="Times New Roman"/>
          <w:color w:val="000000" w:themeColor="text1"/>
        </w:rPr>
        <w:t xml:space="preserve"> According to social control theory, it is chiefly related to the work of Travis Hirschi (1969), an America social researcher who projected that individuals overall imitate social standards due to robust social pledges. E</w:t>
      </w:r>
      <w:r w:rsidRPr="00BE4709">
        <w:rPr>
          <w:rFonts w:ascii="Times New Roman" w:hAnsi="Times New Roman" w:cs="Times New Roman"/>
          <w:color w:val="000000" w:themeColor="text1"/>
        </w:rPr>
        <w:t xml:space="preserve">qually, they involve in criminal actions once these pledges are wrecked or damaged. </w:t>
      </w:r>
    </w:p>
    <w:p w14:paraId="73D04527" w14:textId="255F6059" w:rsidR="00D41F1A" w:rsidRPr="00BE4709" w:rsidRDefault="00926BA4" w:rsidP="00D41F1A">
      <w:pPr>
        <w:jc w:val="both"/>
        <w:rPr>
          <w:rFonts w:ascii="Times New Roman" w:hAnsi="Times New Roman" w:cs="Times New Roman"/>
          <w:color w:val="000000" w:themeColor="text1"/>
        </w:rPr>
      </w:pPr>
      <w:r w:rsidRPr="00BE4709">
        <w:rPr>
          <w:rFonts w:ascii="Times New Roman" w:hAnsi="Times New Roman" w:cs="Times New Roman"/>
          <w:color w:val="000000" w:themeColor="text1"/>
        </w:rPr>
        <w:t xml:space="preserve">According to Oscar Newman and his theory of defensible space theory, it states that crime can be inhibited from the communities and societies. It states that environments </w:t>
      </w:r>
      <w:r w:rsidRPr="00BE4709">
        <w:rPr>
          <w:rFonts w:ascii="Times New Roman" w:hAnsi="Times New Roman" w:cs="Times New Roman"/>
          <w:color w:val="000000" w:themeColor="text1"/>
        </w:rPr>
        <w:t>such as specific buildings, grounds, houses, and other structures can be made crime-free by utilizing defensible space theory</w:t>
      </w:r>
      <w:r>
        <w:rPr>
          <w:rFonts w:ascii="Times New Roman" w:hAnsi="Times New Roman" w:cs="Times New Roman"/>
          <w:color w:val="000000" w:themeColor="text1"/>
          <w:shd w:val="clear" w:color="auto" w:fill="FFFFFF"/>
        </w:rPr>
        <w:t xml:space="preserve"> (Hirschi, 2017).</w:t>
      </w:r>
      <w:r w:rsidRPr="00BE4709">
        <w:rPr>
          <w:rFonts w:ascii="Times New Roman" w:hAnsi="Times New Roman" w:cs="Times New Roman"/>
          <w:color w:val="000000" w:themeColor="text1"/>
        </w:rPr>
        <w:t xml:space="preserve"> It states that by defending the areas fro</w:t>
      </w:r>
      <w:r>
        <w:rPr>
          <w:rFonts w:ascii="Times New Roman" w:hAnsi="Times New Roman" w:cs="Times New Roman"/>
          <w:color w:val="000000" w:themeColor="text1"/>
        </w:rPr>
        <w:t xml:space="preserve">m the outsiders one can prevent </w:t>
      </w:r>
      <w:r w:rsidRPr="00BE4709">
        <w:rPr>
          <w:rFonts w:ascii="Times New Roman" w:hAnsi="Times New Roman" w:cs="Times New Roman"/>
          <w:color w:val="000000" w:themeColor="text1"/>
        </w:rPr>
        <w:t>the communities from crime. The process,</w:t>
      </w:r>
      <w:r w:rsidRPr="00BE4709">
        <w:rPr>
          <w:rFonts w:ascii="Times New Roman" w:hAnsi="Times New Roman" w:cs="Times New Roman"/>
          <w:color w:val="000000" w:themeColor="text1"/>
        </w:rPr>
        <w:t xml:space="preserve"> named</w:t>
      </w:r>
      <w:r>
        <w:rPr>
          <w:rFonts w:ascii="Times New Roman" w:hAnsi="Times New Roman" w:cs="Times New Roman"/>
          <w:color w:val="000000" w:themeColor="text1"/>
        </w:rPr>
        <w:t xml:space="preserve"> the Bystander Effect or </w:t>
      </w:r>
      <w:r w:rsidRPr="00BE4709">
        <w:rPr>
          <w:rFonts w:ascii="Times New Roman" w:hAnsi="Times New Roman" w:cs="Times New Roman"/>
          <w:color w:val="000000" w:themeColor="text1"/>
        </w:rPr>
        <w:t>Genovese Syndrome, tries to clarify why somebody observing delinquency</w:t>
      </w:r>
      <w:r>
        <w:rPr>
          <w:rFonts w:ascii="Times New Roman" w:hAnsi="Times New Roman" w:cs="Times New Roman"/>
          <w:color w:val="000000" w:themeColor="text1"/>
        </w:rPr>
        <w:t xml:space="preserve"> would not </w:t>
      </w:r>
      <w:r w:rsidRPr="00BE4709">
        <w:rPr>
          <w:rFonts w:ascii="Times New Roman" w:hAnsi="Times New Roman" w:cs="Times New Roman"/>
          <w:color w:val="000000" w:themeColor="text1"/>
        </w:rPr>
        <w:t>support the victim. The Bystander Effect was castoff by the media as a story of an ethically bankrupt current culture losing its empathy for oth</w:t>
      </w:r>
      <w:r w:rsidRPr="00BE4709">
        <w:rPr>
          <w:rFonts w:ascii="Times New Roman" w:hAnsi="Times New Roman" w:cs="Times New Roman"/>
          <w:color w:val="000000" w:themeColor="text1"/>
        </w:rPr>
        <w:t xml:space="preserve">ers, predominantly in states. </w:t>
      </w:r>
    </w:p>
    <w:p w14:paraId="17F9DF8F" w14:textId="7F094A95" w:rsidR="00D41F1A" w:rsidRDefault="00926BA4" w:rsidP="00D41F1A">
      <w:pPr>
        <w:jc w:val="both"/>
        <w:rPr>
          <w:rFonts w:ascii="Times New Roman" w:hAnsi="Times New Roman" w:cs="Times New Roman"/>
          <w:color w:val="000000" w:themeColor="text1"/>
        </w:rPr>
      </w:pPr>
      <w:r w:rsidRPr="00BE4709">
        <w:rPr>
          <w:rFonts w:ascii="Times New Roman" w:hAnsi="Times New Roman" w:cs="Times New Roman"/>
          <w:color w:val="000000" w:themeColor="text1"/>
        </w:rPr>
        <w:t xml:space="preserve">Keeping the ideas of environmental design, the number of researches has specified that ample illegitimate behavior is of a thoughtless nature, i.e. the behavior is mainly inspired by the chance which occurs in the criminal's </w:t>
      </w:r>
      <w:r w:rsidRPr="00BE4709">
        <w:rPr>
          <w:rFonts w:ascii="Times New Roman" w:hAnsi="Times New Roman" w:cs="Times New Roman"/>
          <w:color w:val="000000" w:themeColor="text1"/>
        </w:rPr>
        <w:t>environment</w:t>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(Gecer et al., 2018).</w:t>
      </w:r>
      <w:r w:rsidRPr="00BE4709">
        <w:rPr>
          <w:rFonts w:ascii="Times New Roman" w:hAnsi="Times New Roman" w:cs="Times New Roman"/>
          <w:color w:val="000000" w:themeColor="text1"/>
        </w:rPr>
        <w:t xml:space="preserve"> The degree to which this is factual has significant inferences for a crime anticipation method grounded on environmental variations which, in result, decreases opportunity. It would appear critical, consequently, to grow a</w:t>
      </w:r>
      <w:r w:rsidRPr="00BE4709">
        <w:rPr>
          <w:rFonts w:ascii="Times New Roman" w:hAnsi="Times New Roman" w:cs="Times New Roman"/>
          <w:color w:val="000000" w:themeColor="text1"/>
        </w:rPr>
        <w:t xml:space="preserve"> considerable and stronger knowledge of the part of opportunity in diverse kinds of criminal behavior</w:t>
      </w:r>
      <w:r>
        <w:rPr>
          <w:rFonts w:ascii="Times New Roman" w:hAnsi="Times New Roman" w:cs="Times New Roman"/>
          <w:color w:val="000000" w:themeColor="text1"/>
        </w:rPr>
        <w:t xml:space="preserve"> </w:t>
      </w:r>
      <w:r>
        <w:rPr>
          <w:rFonts w:ascii="Times New Roman" w:hAnsi="Times New Roman" w:cs="Times New Roman"/>
          <w:color w:val="000000" w:themeColor="text1"/>
          <w:shd w:val="clear" w:color="auto" w:fill="FFFFFF"/>
        </w:rPr>
        <w:t>(Matza, 2017).</w:t>
      </w:r>
      <w:r w:rsidRPr="00BE4709">
        <w:rPr>
          <w:rFonts w:ascii="Times New Roman" w:hAnsi="Times New Roman" w:cs="Times New Roman"/>
          <w:color w:val="000000" w:themeColor="text1"/>
        </w:rPr>
        <w:t xml:space="preserve"> Prevention and anticipation or crime would take a crucial and considerable approach along with environmental and cultural factors. There mu</w:t>
      </w:r>
      <w:r w:rsidRPr="00BE4709">
        <w:rPr>
          <w:rFonts w:ascii="Times New Roman" w:hAnsi="Times New Roman" w:cs="Times New Roman"/>
          <w:color w:val="000000" w:themeColor="text1"/>
        </w:rPr>
        <w:t xml:space="preserve">st be a strong declaration of the method and approaches, its powers and boundaries should be clearly defined for implementation. The contribution and struggles of those having experience of this environmental </w:t>
      </w:r>
      <w:r w:rsidRPr="00BE4709">
        <w:rPr>
          <w:rFonts w:ascii="Times New Roman" w:hAnsi="Times New Roman" w:cs="Times New Roman"/>
          <w:color w:val="000000" w:themeColor="text1"/>
        </w:rPr>
        <w:lastRenderedPageBreak/>
        <w:t>context should be utilized to decrease the</w:t>
      </w:r>
      <w:r>
        <w:rPr>
          <w:rFonts w:ascii="Times New Roman" w:hAnsi="Times New Roman" w:cs="Times New Roman"/>
          <w:color w:val="000000" w:themeColor="text1"/>
        </w:rPr>
        <w:t xml:space="preserve"> crim</w:t>
      </w:r>
      <w:r>
        <w:rPr>
          <w:rFonts w:ascii="Times New Roman" w:hAnsi="Times New Roman" w:cs="Times New Roman"/>
          <w:color w:val="000000" w:themeColor="text1"/>
        </w:rPr>
        <w:t>e rate in the communities</w:t>
      </w:r>
      <w:r>
        <w:rPr>
          <w:rFonts w:ascii="Times New Roman" w:hAnsi="Times New Roman" w:cs="Times New Roman"/>
          <w:color w:val="000000" w:themeColor="text1"/>
          <w:shd w:val="clear" w:color="auto" w:fill="FFFFFF"/>
        </w:rPr>
        <w:t xml:space="preserve"> (Schweitzer et al., 1999).</w:t>
      </w:r>
      <w:r>
        <w:rPr>
          <w:rFonts w:ascii="Times New Roman" w:hAnsi="Times New Roman" w:cs="Times New Roman"/>
          <w:color w:val="000000" w:themeColor="text1"/>
        </w:rPr>
        <w:t xml:space="preserve"> </w:t>
      </w:r>
      <w:r w:rsidRPr="00BE4709">
        <w:rPr>
          <w:rFonts w:ascii="Times New Roman" w:hAnsi="Times New Roman" w:cs="Times New Roman"/>
          <w:color w:val="000000" w:themeColor="text1"/>
        </w:rPr>
        <w:t>Utilization of Oscar Newman and environmental theories is essential for deteriorating the crime rate from communities. Deleting and erasing the opportunities can also significantly reduce the criminal be</w:t>
      </w:r>
      <w:r w:rsidRPr="00BE4709">
        <w:rPr>
          <w:rFonts w:ascii="Times New Roman" w:hAnsi="Times New Roman" w:cs="Times New Roman"/>
          <w:color w:val="000000" w:themeColor="text1"/>
        </w:rPr>
        <w:t>havior from societies.</w:t>
      </w:r>
    </w:p>
    <w:p w14:paraId="6B05836A" w14:textId="4D8F5EA9" w:rsidR="0068238C" w:rsidRDefault="00926BA4">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14:paraId="08EB01B0" w14:textId="77F62F8A" w:rsidR="0068238C" w:rsidRDefault="00926BA4">
          <w:pPr>
            <w:pStyle w:val="Heading1"/>
          </w:pPr>
          <w:r>
            <w:t>Works Cited</w:t>
          </w:r>
        </w:p>
        <w:p w14:paraId="2BCBE4CB" w14:textId="77777777" w:rsidR="00D41F1A" w:rsidRDefault="00926BA4" w:rsidP="00D41F1A">
          <w:pPr>
            <w:ind w:left="720" w:hanging="720"/>
            <w:rPr>
              <w:rFonts w:ascii="Times New Roman" w:hAnsi="Times New Roman" w:cs="Times New Roman"/>
              <w:color w:val="000000" w:themeColor="text1"/>
              <w:shd w:val="clear" w:color="auto" w:fill="FFFFFF"/>
            </w:rPr>
          </w:pPr>
          <w:r w:rsidRPr="00BE4709">
            <w:rPr>
              <w:rFonts w:ascii="Times New Roman" w:hAnsi="Times New Roman" w:cs="Times New Roman"/>
              <w:color w:val="000000" w:themeColor="text1"/>
              <w:shd w:val="clear" w:color="auto" w:fill="FFFFFF"/>
            </w:rPr>
            <w:t>Cohen, Albert K. "The Sociology of the Deviant Act: Anomie Theory." Deviance and Liberty. Routledge, 2018. 44-53.</w:t>
          </w:r>
        </w:p>
        <w:p w14:paraId="48150A3A" w14:textId="77777777" w:rsidR="00D41F1A" w:rsidRPr="00BE4709" w:rsidRDefault="00926BA4" w:rsidP="00D41F1A">
          <w:pPr>
            <w:ind w:left="720" w:hanging="720"/>
            <w:rPr>
              <w:rFonts w:ascii="Times New Roman" w:hAnsi="Times New Roman" w:cs="Times New Roman"/>
              <w:color w:val="000000" w:themeColor="text1"/>
              <w:shd w:val="clear" w:color="auto" w:fill="FFFFFF"/>
            </w:rPr>
          </w:pPr>
          <w:r w:rsidRPr="00BE4709">
            <w:rPr>
              <w:rFonts w:ascii="Times New Roman" w:hAnsi="Times New Roman" w:cs="Times New Roman"/>
              <w:color w:val="000000" w:themeColor="text1"/>
              <w:shd w:val="clear" w:color="auto" w:fill="FFFFFF"/>
            </w:rPr>
            <w:t>Geçer, Ekmel, and Hüseyin Serbes. "Judgment, Surveillance and Cultural Desensitization Triangle in TV Ser</w:t>
          </w:r>
          <w:r w:rsidRPr="00BE4709">
            <w:rPr>
              <w:rFonts w:ascii="Times New Roman" w:hAnsi="Times New Roman" w:cs="Times New Roman"/>
              <w:color w:val="000000" w:themeColor="text1"/>
              <w:shd w:val="clear" w:color="auto" w:fill="FFFFFF"/>
            </w:rPr>
            <w:t>ies: The Case of Black Mirror." OPUS Uluslararası Toplum Araştırmaları Dergisi 8.15 (2018): 1669-1695.</w:t>
          </w:r>
        </w:p>
        <w:p w14:paraId="6A36297F" w14:textId="77777777" w:rsidR="00D41F1A" w:rsidRPr="00BE4709" w:rsidRDefault="00926BA4" w:rsidP="00D41F1A">
          <w:pPr>
            <w:ind w:left="720" w:hanging="720"/>
            <w:rPr>
              <w:rFonts w:ascii="Times New Roman" w:hAnsi="Times New Roman" w:cs="Times New Roman"/>
              <w:color w:val="000000" w:themeColor="text1"/>
              <w:shd w:val="clear" w:color="auto" w:fill="FFFFFF"/>
            </w:rPr>
          </w:pPr>
          <w:r w:rsidRPr="00BE4709">
            <w:rPr>
              <w:rFonts w:ascii="Times New Roman" w:hAnsi="Times New Roman" w:cs="Times New Roman"/>
              <w:color w:val="000000" w:themeColor="text1"/>
              <w:shd w:val="clear" w:color="auto" w:fill="FFFFFF"/>
            </w:rPr>
            <w:t>Hirschi, Travis. "On the compatibility of rational choice and social control theories of crime." The reasoning criminal. Routledge, 2017. 105-118.</w:t>
          </w:r>
        </w:p>
        <w:p w14:paraId="3AE2EE2A" w14:textId="77777777" w:rsidR="00D41F1A" w:rsidRPr="00BE4709" w:rsidRDefault="00926BA4" w:rsidP="00D41F1A">
          <w:pPr>
            <w:ind w:left="720" w:hanging="720"/>
            <w:rPr>
              <w:rFonts w:ascii="Times New Roman" w:hAnsi="Times New Roman" w:cs="Times New Roman"/>
              <w:color w:val="000000" w:themeColor="text1"/>
              <w:shd w:val="clear" w:color="auto" w:fill="FFFFFF"/>
            </w:rPr>
          </w:pPr>
          <w:r w:rsidRPr="00BE4709">
            <w:rPr>
              <w:rFonts w:ascii="Times New Roman" w:hAnsi="Times New Roman" w:cs="Times New Roman"/>
              <w:color w:val="000000" w:themeColor="text1"/>
              <w:shd w:val="clear" w:color="auto" w:fill="FFFFFF"/>
            </w:rPr>
            <w:t>Matza,</w:t>
          </w:r>
          <w:r w:rsidRPr="00BE4709">
            <w:rPr>
              <w:rFonts w:ascii="Times New Roman" w:hAnsi="Times New Roman" w:cs="Times New Roman"/>
              <w:color w:val="000000" w:themeColor="text1"/>
              <w:shd w:val="clear" w:color="auto" w:fill="FFFFFF"/>
            </w:rPr>
            <w:t xml:space="preserve"> David, and Gresham M. Sykes. "Juvenile delinquency and subterranean values." Cultural Criminology. Routledge, 2017. 3-10.</w:t>
          </w:r>
        </w:p>
        <w:p w14:paraId="2ED792DB" w14:textId="77777777" w:rsidR="00D41F1A" w:rsidRPr="00BE4709" w:rsidRDefault="00926BA4" w:rsidP="00D41F1A">
          <w:pPr>
            <w:ind w:left="720" w:hanging="720"/>
            <w:rPr>
              <w:rFonts w:ascii="Times New Roman" w:hAnsi="Times New Roman" w:cs="Times New Roman"/>
              <w:color w:val="000000" w:themeColor="text1"/>
              <w:shd w:val="clear" w:color="auto" w:fill="FFFFFF"/>
            </w:rPr>
          </w:pPr>
          <w:r w:rsidRPr="00BE4709">
            <w:rPr>
              <w:rFonts w:ascii="Times New Roman" w:hAnsi="Times New Roman" w:cs="Times New Roman"/>
              <w:color w:val="000000" w:themeColor="text1"/>
              <w:shd w:val="clear" w:color="auto" w:fill="FFFFFF"/>
            </w:rPr>
            <w:t>Schweitzer, John H., June Woo Kim, and Juliette R. Mackin. "The impact of the built environment on crime and fear of crime in urban n</w:t>
          </w:r>
          <w:r w:rsidRPr="00BE4709">
            <w:rPr>
              <w:rFonts w:ascii="Times New Roman" w:hAnsi="Times New Roman" w:cs="Times New Roman"/>
              <w:color w:val="000000" w:themeColor="text1"/>
              <w:shd w:val="clear" w:color="auto" w:fill="FFFFFF"/>
            </w:rPr>
            <w:t>eighborhoods." Journal of urban technology6.3 (1999): 59-73.</w:t>
          </w:r>
        </w:p>
        <w:p w14:paraId="1F29ADFB" w14:textId="77777777" w:rsidR="00D41F1A" w:rsidRPr="00BE4709" w:rsidRDefault="00926BA4" w:rsidP="00D41F1A">
          <w:pPr>
            <w:ind w:left="720" w:hanging="720"/>
            <w:rPr>
              <w:rFonts w:ascii="Times New Roman" w:hAnsi="Times New Roman" w:cs="Times New Roman"/>
              <w:color w:val="000000" w:themeColor="text1"/>
              <w:shd w:val="clear" w:color="auto" w:fill="FFFFFF"/>
            </w:rPr>
          </w:pPr>
          <w:r w:rsidRPr="00BE4709">
            <w:rPr>
              <w:rFonts w:ascii="Times New Roman" w:hAnsi="Times New Roman" w:cs="Times New Roman"/>
              <w:color w:val="000000" w:themeColor="text1"/>
              <w:shd w:val="clear" w:color="auto" w:fill="FFFFFF"/>
            </w:rPr>
            <w:t>Wilcox, Pamela, and Francis T. Cullen. "Situational opportunity theories of crime." Annual Review of Criminology 1 (2018): 123-148.</w:t>
          </w:r>
        </w:p>
        <w:p w14:paraId="1D044888" w14:textId="77777777" w:rsidR="00D41F1A" w:rsidRPr="00BE4709" w:rsidRDefault="00D41F1A" w:rsidP="00D41F1A">
          <w:pPr>
            <w:rPr>
              <w:rFonts w:ascii="Times New Roman" w:hAnsi="Times New Roman" w:cs="Times New Roman"/>
              <w:color w:val="000000" w:themeColor="text1"/>
              <w:shd w:val="clear" w:color="auto" w:fill="FFFFFF"/>
            </w:rPr>
          </w:pPr>
        </w:p>
        <w:p w14:paraId="3AAC8432" w14:textId="0003C5E7" w:rsidR="0068238C" w:rsidRDefault="00926BA4" w:rsidP="0068238C"/>
      </w:sdtContent>
    </w:sdt>
    <w:p w14:paraId="102F5BA1" w14:textId="77777777" w:rsidR="0068238C" w:rsidRPr="00380497" w:rsidRDefault="0068238C" w:rsidP="0068238C">
      <w:pPr>
        <w:rPr>
          <w:color w:val="FF0000"/>
        </w:rPr>
      </w:pPr>
    </w:p>
    <w:p w14:paraId="0E99E16B" w14:textId="77777777" w:rsidR="00E214A6" w:rsidRDefault="00E214A6" w:rsidP="00E214A6"/>
    <w:p w14:paraId="40697F31" w14:textId="77777777" w:rsidR="00E214A6" w:rsidRPr="00E214A6" w:rsidRDefault="00E214A6" w:rsidP="00E214A6"/>
    <w:p w14:paraId="2A4152EB" w14:textId="77777777" w:rsidR="002F24AA" w:rsidRPr="002F24AA" w:rsidRDefault="00926BA4" w:rsidP="002F24AA">
      <w:pPr>
        <w:ind w:firstLine="0"/>
        <w:rPr>
          <w:b/>
        </w:rPr>
      </w:pPr>
      <w:r>
        <w:rPr>
          <w:b/>
        </w:rPr>
        <w:tab/>
      </w:r>
    </w:p>
    <w:p w14:paraId="2716CC3A" w14:textId="77777777" w:rsidR="001E68BE" w:rsidRPr="00C9031F" w:rsidRDefault="001E68BE" w:rsidP="00BA5332"/>
    <w:sectPr w:rsidR="001E68BE" w:rsidRPr="00C9031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22119" w14:textId="77777777" w:rsidR="00926BA4" w:rsidRDefault="00926BA4">
      <w:pPr>
        <w:spacing w:line="240" w:lineRule="auto"/>
      </w:pPr>
      <w:r>
        <w:separator/>
      </w:r>
    </w:p>
  </w:endnote>
  <w:endnote w:type="continuationSeparator" w:id="0">
    <w:p w14:paraId="0FE7BB46" w14:textId="77777777" w:rsidR="00926BA4" w:rsidRDefault="00926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A4E5E" w14:textId="77777777" w:rsidR="00926BA4" w:rsidRDefault="00926BA4">
      <w:pPr>
        <w:spacing w:line="240" w:lineRule="auto"/>
      </w:pPr>
      <w:r>
        <w:separator/>
      </w:r>
    </w:p>
  </w:footnote>
  <w:footnote w:type="continuationSeparator" w:id="0">
    <w:p w14:paraId="3546E146" w14:textId="77777777" w:rsidR="00926BA4" w:rsidRDefault="00926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24CA" w14:textId="3CA3185B" w:rsidR="00E614DD" w:rsidRDefault="00926BA4">
    <w:pPr>
      <w:pStyle w:val="Header"/>
    </w:pPr>
    <w:r>
      <w:t>Llano</w:t>
    </w:r>
    <w:r w:rsidR="00691EC1">
      <w:t xml:space="preserve"> </w:t>
    </w:r>
    <w:r w:rsidR="00691EC1">
      <w:fldChar w:fldCharType="begin"/>
    </w:r>
    <w:r w:rsidR="00691EC1">
      <w:instrText xml:space="preserve"> PAGE   \* MERGEFORMAT </w:instrText>
    </w:r>
    <w:r w:rsidR="00691EC1">
      <w:fldChar w:fldCharType="separate"/>
    </w:r>
    <w:r w:rsidR="0067317C">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5C8" w14:textId="48217A67" w:rsidR="00E614DD" w:rsidRDefault="00926BA4">
    <w:pPr>
      <w:pStyle w:val="Header"/>
    </w:pPr>
    <w:r w:rsidRPr="002A5D96">
      <w:t>L</w:t>
    </w:r>
    <w:r w:rsidR="00D41F1A">
      <w:t>lano</w:t>
    </w:r>
    <w:r w:rsidR="00B13D1B">
      <w:t xml:space="preserve"> </w:t>
    </w:r>
    <w:r w:rsidR="00691EC1">
      <w:fldChar w:fldCharType="begin"/>
    </w:r>
    <w:r w:rsidR="00691EC1">
      <w:instrText xml:space="preserve"> PAGE   \* MERGEFORMAT </w:instrText>
    </w:r>
    <w:r w:rsidR="00691EC1">
      <w:fldChar w:fldCharType="separate"/>
    </w:r>
    <w:r w:rsidR="0067317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9D86E9C">
      <w:start w:val="1"/>
      <w:numFmt w:val="lowerLetter"/>
      <w:pStyle w:val="TableNote"/>
      <w:suff w:val="space"/>
      <w:lvlText w:val="%1."/>
      <w:lvlJc w:val="left"/>
      <w:pPr>
        <w:ind w:left="0" w:firstLine="720"/>
      </w:pPr>
      <w:rPr>
        <w:rFonts w:hint="default"/>
      </w:rPr>
    </w:lvl>
    <w:lvl w:ilvl="1" w:tplc="E918D132" w:tentative="1">
      <w:start w:val="1"/>
      <w:numFmt w:val="lowerLetter"/>
      <w:lvlText w:val="%2."/>
      <w:lvlJc w:val="left"/>
      <w:pPr>
        <w:ind w:left="2160" w:hanging="360"/>
      </w:pPr>
    </w:lvl>
    <w:lvl w:ilvl="2" w:tplc="FB720972" w:tentative="1">
      <w:start w:val="1"/>
      <w:numFmt w:val="lowerRoman"/>
      <w:lvlText w:val="%3."/>
      <w:lvlJc w:val="right"/>
      <w:pPr>
        <w:ind w:left="2880" w:hanging="180"/>
      </w:pPr>
    </w:lvl>
    <w:lvl w:ilvl="3" w:tplc="C8CA8DFA" w:tentative="1">
      <w:start w:val="1"/>
      <w:numFmt w:val="decimal"/>
      <w:lvlText w:val="%4."/>
      <w:lvlJc w:val="left"/>
      <w:pPr>
        <w:ind w:left="3600" w:hanging="360"/>
      </w:pPr>
    </w:lvl>
    <w:lvl w:ilvl="4" w:tplc="28E41DCC" w:tentative="1">
      <w:start w:val="1"/>
      <w:numFmt w:val="lowerLetter"/>
      <w:lvlText w:val="%5."/>
      <w:lvlJc w:val="left"/>
      <w:pPr>
        <w:ind w:left="4320" w:hanging="360"/>
      </w:pPr>
    </w:lvl>
    <w:lvl w:ilvl="5" w:tplc="9972579E" w:tentative="1">
      <w:start w:val="1"/>
      <w:numFmt w:val="lowerRoman"/>
      <w:lvlText w:val="%6."/>
      <w:lvlJc w:val="right"/>
      <w:pPr>
        <w:ind w:left="5040" w:hanging="180"/>
      </w:pPr>
    </w:lvl>
    <w:lvl w:ilvl="6" w:tplc="C212CF82" w:tentative="1">
      <w:start w:val="1"/>
      <w:numFmt w:val="decimal"/>
      <w:lvlText w:val="%7."/>
      <w:lvlJc w:val="left"/>
      <w:pPr>
        <w:ind w:left="5760" w:hanging="360"/>
      </w:pPr>
    </w:lvl>
    <w:lvl w:ilvl="7" w:tplc="468CC7E4" w:tentative="1">
      <w:start w:val="1"/>
      <w:numFmt w:val="lowerLetter"/>
      <w:lvlText w:val="%8."/>
      <w:lvlJc w:val="left"/>
      <w:pPr>
        <w:ind w:left="6480" w:hanging="360"/>
      </w:pPr>
    </w:lvl>
    <w:lvl w:ilvl="8" w:tplc="1D64CA7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446631"/>
    <w:rsid w:val="00456D21"/>
    <w:rsid w:val="0046614C"/>
    <w:rsid w:val="004714EF"/>
    <w:rsid w:val="00492283"/>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7317C"/>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26BA4"/>
    <w:rsid w:val="009559B8"/>
    <w:rsid w:val="00970399"/>
    <w:rsid w:val="00976669"/>
    <w:rsid w:val="009B388E"/>
    <w:rsid w:val="009D4EB3"/>
    <w:rsid w:val="009F500D"/>
    <w:rsid w:val="00A414C0"/>
    <w:rsid w:val="00A55B96"/>
    <w:rsid w:val="00A5758F"/>
    <w:rsid w:val="00A83D47"/>
    <w:rsid w:val="00AC357E"/>
    <w:rsid w:val="00B06774"/>
    <w:rsid w:val="00B13D1B"/>
    <w:rsid w:val="00B220A9"/>
    <w:rsid w:val="00B32426"/>
    <w:rsid w:val="00B61223"/>
    <w:rsid w:val="00B616C6"/>
    <w:rsid w:val="00B75508"/>
    <w:rsid w:val="00B818DF"/>
    <w:rsid w:val="00BA1163"/>
    <w:rsid w:val="00BA5332"/>
    <w:rsid w:val="00BB4391"/>
    <w:rsid w:val="00BE095C"/>
    <w:rsid w:val="00BE4709"/>
    <w:rsid w:val="00C009D2"/>
    <w:rsid w:val="00C25DA4"/>
    <w:rsid w:val="00C36ACF"/>
    <w:rsid w:val="00C446FB"/>
    <w:rsid w:val="00C65104"/>
    <w:rsid w:val="00C704BE"/>
    <w:rsid w:val="00C8291D"/>
    <w:rsid w:val="00C9031F"/>
    <w:rsid w:val="00CC6635"/>
    <w:rsid w:val="00CD455F"/>
    <w:rsid w:val="00D11090"/>
    <w:rsid w:val="00D23152"/>
    <w:rsid w:val="00D236BD"/>
    <w:rsid w:val="00D41F1A"/>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01E5"/>
    <w:rsid w:val="00F8446D"/>
    <w:rsid w:val="00F87DF1"/>
    <w:rsid w:val="00F9444C"/>
    <w:rsid w:val="00FA023A"/>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077DEC">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77DEC"/>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F10486"/>
    <w:rsid w:val="00F97AA5"/>
    <w:rsid w:val="00FA63B0"/>
    <w:rsid w:val="00FF4B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F0D2A6-6462-498E-A79A-DD50CFDCE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HP 6570b</cp:lastModifiedBy>
  <cp:revision>2</cp:revision>
  <dcterms:created xsi:type="dcterms:W3CDTF">2019-10-29T14:41:00Z</dcterms:created>
  <dcterms:modified xsi:type="dcterms:W3CDTF">2019-10-29T14:41:00Z</dcterms:modified>
</cp:coreProperties>
</file>