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F9444C" w:rsidRPr="005D21F2">
      <w:pPr>
        <w:pStyle w:val="NoSpacing"/>
        <w:rPr>
          <w:highlight w:val="yellow"/>
        </w:rPr>
      </w:pPr>
      <w:r>
        <w:rPr>
          <w:highlight w:val="yellow"/>
        </w:rPr>
        <w:t xml:space="preserve"> </w:t>
      </w:r>
      <w:sdt>
        <w:sdtPr>
          <w:rPr>
            <w:highlight w:val="yellow"/>
          </w:rPr>
          <w:alias w:val="Your Name:"/>
          <w:tag w:val="Your Name:"/>
          <w:id w:val="-686670367"/>
          <w:placeholder>
            <w:docPart w:val="A61FEFE49C694AEEB4EA0682B49C47BA"/>
          </w:placeholder>
          <w:showingPlcHdr/>
          <w:richText/>
          <w:temporary/>
          <w15:appearance w15:val="hidden"/>
        </w:sdtPr>
        <w:sdtContent>
          <w:r w:rsidRPr="005D21F2">
            <w:rPr>
              <w:highlight w:val="yellow"/>
            </w:rPr>
            <w:t>Your Name</w:t>
          </w:r>
        </w:sdtContent>
      </w:sdt>
    </w:p>
    <w:p w:rsidR="00E614DD" w:rsidRPr="005D21F2">
      <w:pPr>
        <w:pStyle w:val="NoSpacing"/>
        <w:rPr>
          <w:highlight w:val="yellow"/>
        </w:rPr>
      </w:pPr>
      <w:sdt>
        <w:sdtPr>
          <w:rPr>
            <w:highlight w:val="yellow"/>
          </w:rPr>
          <w:alias w:val="Instructor Name:"/>
          <w:tag w:val="Instructor Name:"/>
          <w:id w:val="1392545257"/>
          <w:placeholder>
            <w:docPart w:val="DE6BE46DEE37441CAD65BAEC4F74BF9B"/>
          </w:placeholder>
          <w:showingPlcHdr/>
          <w:richText/>
          <w:temporary/>
          <w15:appearance w15:val="hidden"/>
        </w:sdtPr>
        <w:sdtContent>
          <w:r w:rsidRPr="005D21F2" w:rsidR="00B13D1B">
            <w:rPr>
              <w:highlight w:val="yellow"/>
            </w:rPr>
            <w:t>Instructor Name</w:t>
          </w:r>
        </w:sdtContent>
      </w:sdt>
    </w:p>
    <w:p w:rsidR="00E614DD" w:rsidRPr="005D21F2">
      <w:pPr>
        <w:pStyle w:val="NoSpacing"/>
        <w:rPr>
          <w:highlight w:val="yellow"/>
        </w:rPr>
      </w:pPr>
      <w:sdt>
        <w:sdtPr>
          <w:rPr>
            <w:highlight w:val="yellow"/>
          </w:rPr>
          <w:alias w:val="Course Number:"/>
          <w:tag w:val="Course Number:"/>
          <w:id w:val="1249771000"/>
          <w:placeholder>
            <w:docPart w:val="16057CA204D7459A80674E6CC7F2B98F"/>
          </w:placeholder>
          <w:showingPlcHdr/>
          <w:richText/>
          <w:temporary/>
          <w15:appearance w15:val="hidden"/>
        </w:sdtPr>
        <w:sdtContent>
          <w:r w:rsidRPr="005D21F2" w:rsidR="00B13D1B">
            <w:rPr>
              <w:highlight w:val="yellow"/>
            </w:rPr>
            <w:t>Course Number</w:t>
          </w:r>
        </w:sdtContent>
      </w:sdt>
    </w:p>
    <w:p w:rsidR="00E614DD">
      <w:pPr>
        <w:pStyle w:val="NoSpacing"/>
      </w:pPr>
      <w:sdt>
        <w:sdtPr>
          <w:rPr>
            <w:highlight w:val="yellow"/>
          </w:rPr>
          <w:alias w:val="Date:"/>
          <w:tag w:val="Date:"/>
          <w:id w:val="518209038"/>
          <w:placeholder>
            <w:docPart w:val="2EB449EEE1B24578B2F5D2D1AF42B15F"/>
          </w:placeholder>
          <w:showingPlcHdr/>
          <w:richText/>
          <w:temporary/>
          <w15:appearance w15:val="hidden"/>
        </w:sdtPr>
        <w:sdtEndPr>
          <w:rPr>
            <w:highlight w:val="none"/>
          </w:rPr>
        </w:sdtEndPr>
        <w:sdtContent>
          <w:r w:rsidRPr="005D21F2" w:rsidR="00B13D1B">
            <w:rPr>
              <w:highlight w:val="yellow"/>
            </w:rPr>
            <w:t>Date</w:t>
          </w:r>
        </w:sdtContent>
      </w:sdt>
    </w:p>
    <w:p w:rsidR="00E614DD" w:rsidRPr="00447361" w:rsidP="00447361">
      <w:pPr>
        <w:pStyle w:val="Heading1"/>
        <w:jc w:val="center"/>
        <w:rPr>
          <w:b/>
        </w:rPr>
      </w:pPr>
      <w:r w:rsidRPr="00447361">
        <w:rPr>
          <w:b/>
          <w:highlight w:val="cyan"/>
        </w:rPr>
        <w:t>Justice White’s decision vs. Justice Rehnquist decision</w:t>
      </w:r>
    </w:p>
    <w:p w:rsidR="005D21F2" w:rsidP="00E048FA">
      <w:pPr>
        <w:ind w:firstLine="0"/>
        <w:jc w:val="both"/>
      </w:pPr>
      <w:r w:rsidRPr="00E048FA">
        <w:t xml:space="preserve">This essay is both the comparative and contrast </w:t>
      </w:r>
      <w:r w:rsidRPr="00E048FA" w:rsidR="008A51DB">
        <w:t xml:space="preserve">analysis about </w:t>
      </w:r>
      <w:r w:rsidRPr="00E048FA">
        <w:rPr>
          <w:b/>
        </w:rPr>
        <w:t>Justice White’s</w:t>
      </w:r>
      <w:r w:rsidRPr="00E048FA">
        <w:t xml:space="preserve"> opinion in R.A.V v. The city of St. Paul</w:t>
      </w:r>
      <w:r w:rsidRPr="00E048FA" w:rsidR="008A51DB">
        <w:t xml:space="preserve"> case with that of </w:t>
      </w:r>
      <w:r w:rsidRPr="00E048FA" w:rsidR="008A51DB">
        <w:rPr>
          <w:b/>
        </w:rPr>
        <w:t>Chief Justice Rehnquist’s</w:t>
      </w:r>
      <w:r w:rsidRPr="00E048FA" w:rsidR="008A51DB">
        <w:t xml:space="preserve"> opinion in Bay Scouts of America vs. Dale case. </w:t>
      </w:r>
      <w:r w:rsidRPr="00E048FA" w:rsidR="00971474">
        <w:t xml:space="preserve">Justice White opined in R.A.V v. The city of St. Paul that the decision of the Minnesota Supreme Court is considered the reverse. In doing so, the court provided none of the reason for advancing. The court </w:t>
      </w:r>
      <w:r w:rsidRPr="00E048FA" w:rsidR="00E048FA">
        <w:t>mentioned</w:t>
      </w:r>
      <w:r w:rsidRPr="00E048FA" w:rsidR="00971474">
        <w:t xml:space="preserve"> that the decision has been made on the basis of the issues that are not an inherent part of the court </w:t>
      </w:r>
      <w:r w:rsidRPr="00E048FA" w:rsidR="00E048FA">
        <w:t>proceedings</w:t>
      </w:r>
      <w:r w:rsidRPr="00E048FA" w:rsidR="00971474">
        <w:t xml:space="preserve"> in this case</w:t>
      </w:r>
      <w:r w:rsidR="00B37158">
        <w:fldChar w:fldCharType="begin"/>
      </w:r>
      <w:r w:rsidR="00B37158">
        <w:instrText xml:space="preserve"> ADDIN ZOTERO_ITEM CSL_CITATION {"citationID":"dJhrWbPE","properties":{"formattedCitation":"(Kommers et al. 151)","plainCitation":"(Kommers et al. 151)","noteIndex":0},"citationItems":[{"id":524,"uris":["http://zotero.org/users/local/s8f0QVnP/items/2ESIL2KE"],"uri":["http://zotero.org/users/local/s8f0QVnP/items/2ESIL2KE"],"itemData":{"id":524,"type":"book","title":"American Constitutional Law: Liberty, Community, and the Bill of Rights","publisher":"Rowman &amp; Littlefield Publishers","source":"Google Scholar","title-short":"American Constitutional Law","author":[{"family":"Kommers","given":"Donald P."},{"family":"Finn","given":"John E."},{"family":"Jacobsohn","given":"Gary J."}],"issued":{"date-parts":[["2004"]]}},"locator":"151","label":"page"}],"schema":"https://github.com/citation-style-language/schema/raw/master/csl-citation.json"} </w:instrText>
      </w:r>
      <w:r w:rsidR="00B37158">
        <w:fldChar w:fldCharType="separate"/>
      </w:r>
      <w:r w:rsidRPr="00B37158" w:rsidR="00B37158">
        <w:rPr>
          <w:rFonts w:ascii="Times New Roman" w:hAnsi="Times New Roman" w:cs="Times New Roman"/>
        </w:rPr>
        <w:t>(Kommers et al. 151)</w:t>
      </w:r>
      <w:r w:rsidR="00B37158">
        <w:fldChar w:fldCharType="end"/>
      </w:r>
      <w:r w:rsidRPr="00E048FA" w:rsidR="00971474">
        <w:t>. The court went on to write that the decision was made without any prior case briefing and it also challenged the established pr</w:t>
      </w:r>
      <w:r w:rsidRPr="00E048FA" w:rsidR="00E048FA">
        <w:t>ecedents of the court. Justice White</w:t>
      </w:r>
      <w:r w:rsidRPr="00E048FA" w:rsidR="00971474">
        <w:t xml:space="preserve"> mentioned that the case R.A.V v. The city of St. Paul </w:t>
      </w:r>
      <w:r w:rsidRPr="00E048FA" w:rsidR="00E048FA">
        <w:t>could</w:t>
      </w:r>
      <w:r w:rsidRPr="00E048FA" w:rsidR="00971474">
        <w:t xml:space="preserve"> have been decided </w:t>
      </w:r>
      <w:r w:rsidRPr="00E048FA" w:rsidR="00E048FA">
        <w:t>on well-developed pieces of evidence</w:t>
      </w:r>
      <w:r w:rsidR="00B37158">
        <w:fldChar w:fldCharType="begin"/>
      </w:r>
      <w:r w:rsidR="00B37158">
        <w:instrText xml:space="preserve"> ADDIN ZOTERO_ITEM CSL_CITATION {"citationID":"B52Qozgc","properties":{"formattedCitation":"(Kommers et al. 152)","plainCitation":"(Kommers et al. 152)","noteIndex":0},"citationItems":[{"id":524,"uris":["http://zotero.org/users/local/s8f0QVnP/items/2ESIL2KE"],"uri":["http://zotero.org/users/local/s8f0QVnP/items/2ESIL2KE"],"itemData":{"id":524,"type":"book","title":"American Constitutional Law: Liberty, Community, and the Bill of Rights","publisher":"Rowman &amp; Littlefield Publishers","source":"Google Scholar","title-short":"American Constitutional Law","author":[{"family":"Kommers","given":"Donald P."},{"family":"Finn","given":"John E."},{"family":"Jacobsohn","given":"Gary J."}],"issued":{"date-parts":[["2004"]]}},"locator":"152","label":"page"}],"schema":"https://github.com/citation-style-language/schema/raw/master/csl-citation.json"} </w:instrText>
      </w:r>
      <w:r w:rsidR="00B37158">
        <w:fldChar w:fldCharType="separate"/>
      </w:r>
      <w:r w:rsidRPr="00B37158" w:rsidR="00B37158">
        <w:rPr>
          <w:rFonts w:ascii="Times New Roman" w:hAnsi="Times New Roman" w:cs="Times New Roman"/>
        </w:rPr>
        <w:t xml:space="preserve"> (Kommers et al. 152)</w:t>
      </w:r>
      <w:r w:rsidR="00B37158">
        <w:fldChar w:fldCharType="end"/>
      </w:r>
      <w:r w:rsidRPr="00E048FA" w:rsidR="00E048FA">
        <w:t>. Justice White also mentioned the first amendment precedent that it could also have been incorporated. He remarked that in this decision the ordinance is overboard. The ordinance, according to him reached unprotected speech that prohibited expression. The repugnant was just protected by the first amendment. 
</w:t>
      </w:r>
    </w:p>
    <w:p w:rsidR="00897721" w:rsidP="006944B1">
      <w:pPr>
        <w:jc w:val="both"/>
      </w:pPr>
      <w:r>
        <w:t xml:space="preserve">The court opined in the </w:t>
      </w:r>
      <w:r w:rsidRPr="00E048FA">
        <w:t>Boy Scouts of America vs. Dale case</w:t>
      </w:r>
      <w:r w:rsidR="00115A74">
        <w:t xml:space="preserve"> that since the Boy Scouts is adamant of its values, therefore, it has the right to dispel any gay scoutmaster</w:t>
      </w:r>
      <w:r w:rsidR="00B37158">
        <w:fldChar w:fldCharType="begin"/>
      </w:r>
      <w:r w:rsidR="00B37158">
        <w:instrText xml:space="preserve"> ADDIN ZOTERO_ITEM CSL_CITATION {"citationID":"WLUr1LrJ","properties":{"formattedCitation":"(Kommers et al. 172)","plainCitation":"(Kommers et al. 172)","noteIndex":0},"citationItems":[{"id":524,"uris":["http://zotero.org/users/local/s8f0QVnP/items/2ESIL2KE"],"uri":["http://zotero.org/users/local/s8f0QVnP/items/2ESIL2KE"],"itemData":{"id":524,"type":"book","title":"American Constitutional Law: Liberty, Community, and the Bill of Rights","publisher":"Rowman &amp; Littlefield Publishers","source":"Google Scholar","title-short":"American Constitutional Law","author":[{"family":"Kommers","given":"Donald P."},{"family":"Finn","given":"John E."},{"family":"Jacobsohn","given":"Gary J."}],"issued":{"date-parts":[["2004"]]}},"locator":"172","label":"page"}],"schema":"https://github.com/citation-style-language/schema/raw/master/csl-citation.json"} </w:instrText>
      </w:r>
      <w:r w:rsidR="00B37158">
        <w:fldChar w:fldCharType="separate"/>
      </w:r>
      <w:r w:rsidRPr="00B37158" w:rsidR="00B37158">
        <w:rPr>
          <w:rFonts w:ascii="Times New Roman" w:hAnsi="Times New Roman" w:cs="Times New Roman"/>
        </w:rPr>
        <w:t>(Kommers et al. 172)</w:t>
      </w:r>
      <w:r w:rsidR="00B37158">
        <w:fldChar w:fldCharType="end"/>
      </w:r>
      <w:r w:rsidR="00115A74">
        <w:t xml:space="preserve">. Chief Justice Rehnquist argued his decision on the basis </w:t>
      </w:r>
      <w:r w:rsidR="00C97054">
        <w:t>that t</w:t>
      </w:r>
      <w:r w:rsidR="00115A74">
        <w:t xml:space="preserve">he teachings of the Boy Scouts are in contradiction with the adult conduct, therefore they have the right to decide about what is right or wrong. He also argued that any judicial disapproval of the tenet doesn't justify the state efforts </w:t>
      </w:r>
      <w:r w:rsidR="00115A74">
        <w:t xml:space="preserve">to force the organization to accept those who have conducted </w:t>
      </w:r>
      <w:r w:rsidR="00C97054">
        <w:t>against</w:t>
      </w:r>
      <w:r w:rsidR="00115A74">
        <w:t xml:space="preserve"> the very norms of the organization</w:t>
      </w:r>
      <w:r w:rsidR="00B37158">
        <w:fldChar w:fldCharType="begin"/>
      </w:r>
      <w:r w:rsidR="00B37158">
        <w:instrText xml:space="preserve"> ADDIN ZOTERO_ITEM CSL_CITATION {"citationID":"fVP3AsS6","properties":{"formattedCitation":"(Kommers et al. 173)","plainCitation":"(Kommers et al. 173)","noteIndex":0},"citationItems":[{"id":524,"uris":["http://zotero.org/users/local/s8f0QVnP/items/2ESIL2KE"],"uri":["http://zotero.org/users/local/s8f0QVnP/items/2ESIL2KE"],"itemData":{"id":524,"type":"book","title":"American Constitutional Law: Liberty, Community, and the Bill of Rights","publisher":"Rowman &amp; Littlefield Publishers","source":"Google Scholar","title-short":"American Constitutional Law","author":[{"family":"Kommers","given":"Donald P."},{"family":"Finn","given":"John E."},{"family":"Jacobsohn","given":"Gary J."}],"issued":{"date-parts":[["2004"]]}},"locator":"173","label":"page"}],"schema":"https://github.com/citation-style-language/schema/raw/master/csl-citation.json"} </w:instrText>
      </w:r>
      <w:r w:rsidR="00B37158">
        <w:fldChar w:fldCharType="separate"/>
      </w:r>
      <w:r w:rsidRPr="00B37158" w:rsidR="00B37158">
        <w:rPr>
          <w:rFonts w:ascii="Times New Roman" w:hAnsi="Times New Roman" w:cs="Times New Roman"/>
        </w:rPr>
        <w:t>(Kommers et al. 173)</w:t>
      </w:r>
      <w:r w:rsidR="00B37158">
        <w:fldChar w:fldCharType="end"/>
      </w:r>
      <w:r w:rsidR="00115A74">
        <w:t xml:space="preserve">. </w:t>
      </w:r>
      <w:r w:rsidR="00C97054">
        <w:t xml:space="preserve">Chief Justice also argued that the law of the land is free to expand the conduct of every sort but it cannot discourage approved conduct of any organization. </w:t>
      </w:r>
      <w:r w:rsidR="00B37158">
        <w:t xml:space="preserve">These opinions have been extracted from chapter seven titled "Freedom of Speech" which is authored by </w:t>
      </w:r>
      <w:r w:rsidRPr="00B37158" w:rsidR="00B37158">
        <w:rPr>
          <w:i/>
        </w:rPr>
        <w:t>John E. Finn</w:t>
      </w:r>
      <w:r w:rsidR="00B37158">
        <w:t xml:space="preserve">.  Considering the opinions of the judges in both the cases it appears that </w:t>
      </w:r>
      <w:r w:rsidRPr="00A54BAD" w:rsidR="00B37158">
        <w:rPr>
          <w:i/>
        </w:rPr>
        <w:t xml:space="preserve">the first amendment cannot be argued against </w:t>
      </w:r>
      <w:r w:rsidRPr="00A54BAD" w:rsidR="00A54BAD">
        <w:rPr>
          <w:i/>
        </w:rPr>
        <w:t xml:space="preserve">any organization’s approved laws or </w:t>
      </w:r>
      <w:r w:rsidR="002A1961">
        <w:rPr>
          <w:i/>
        </w:rPr>
        <w:t xml:space="preserve">its values </w:t>
      </w:r>
      <w:r w:rsidRPr="00A54BAD" w:rsidR="00A54BAD">
        <w:rPr>
          <w:i/>
        </w:rPr>
        <w:t>unless they are against the very law of the land.</w:t>
      </w:r>
      <w:r w:rsidR="003B661C">
        <w:t xml:space="preserve"> </w:t>
      </w:r>
    </w:p>
    <w:p w:rsidR="00897721">
      <w:pPr>
        <w:suppressAutoHyphens w:val="0"/>
      </w:pPr>
      <w:r>
        <w:br w:type="page"/>
      </w:r>
    </w:p>
    <w:p w:rsidR="006944B1" w:rsidRPr="00447361" w:rsidP="00447361">
      <w:pPr>
        <w:pStyle w:val="Heading1"/>
        <w:rPr>
          <w:b/>
        </w:rPr>
      </w:pPr>
      <w:r w:rsidRPr="00447361">
        <w:rPr>
          <w:b/>
        </w:rPr>
        <w:t>Comparative analysis of R.A.V v. The city of St. Paul and Boy Scouts of America vs. Dale case
</w:t>
      </w:r>
    </w:p>
    <w:p w:rsidR="001630CA" w:rsidRPr="006944B1" w:rsidP="006944B1">
      <w:pPr>
        <w:jc w:val="both"/>
        <w:rPr>
          <w:b/>
        </w:rPr>
      </w:pPr>
      <w:r w:rsidRPr="00A10F6F">
        <w:rPr>
          <w:i/>
        </w:rPr>
        <w:t>R.A.V v. The city of St. Paul case analysis:</w:t>
      </w:r>
      <w:r w:rsidRPr="00F53287">
        <w:t xml:space="preserve"> In this case presented in front of the Court in the year 1992. The court struck an ordinance, which was later interpreted as a bar on the freedom of speech. In the ordinance, the court mentioned that it is illegal (and will from now onwards considered) top burn the cross or swastika, in order to show the feelings of hate or anger.  It also mentioned that </w:t>
      </w:r>
      <w:r w:rsidRPr="00F53287" w:rsidR="007A23A0">
        <w:t xml:space="preserve">it is </w:t>
      </w:r>
      <w:r w:rsidRPr="00F53287" w:rsidR="00F53287">
        <w:t>also barred</w:t>
      </w:r>
      <w:r w:rsidRPr="00F53287" w:rsidR="007A23A0">
        <w:t xml:space="preserve"> to arouse anger on the </w:t>
      </w:r>
      <w:r w:rsidRPr="00F53287" w:rsidR="00F53287">
        <w:t>basis</w:t>
      </w:r>
      <w:r w:rsidRPr="00F53287" w:rsidR="007A23A0">
        <w:t xml:space="preserve"> of </w:t>
      </w:r>
      <w:r w:rsidRPr="00F53287" w:rsidR="00F53287">
        <w:t>cast</w:t>
      </w:r>
      <w:r w:rsidRPr="00F53287" w:rsidR="007A23A0">
        <w:t xml:space="preserve">, color or creed. Another court’s decision mentioned </w:t>
      </w:r>
      <w:r w:rsidRPr="00F53287" w:rsidR="00F53287">
        <w:t>it as</w:t>
      </w:r>
      <w:r w:rsidRPr="00F53287" w:rsidR="007A23A0">
        <w:t xml:space="preserve"> the violation of the first amendment and over</w:t>
      </w:r>
      <w:r w:rsidRPr="00F53287" w:rsidR="00F53287">
        <w:t>t</w:t>
      </w:r>
      <w:r w:rsidRPr="00F53287" w:rsidR="007A23A0">
        <w:t>u</w:t>
      </w:r>
      <w:r w:rsidRPr="00F53287" w:rsidR="00F53287">
        <w:t>r</w:t>
      </w:r>
      <w:r w:rsidRPr="00F53287" w:rsidR="007A23A0">
        <w:t xml:space="preserve">ned the </w:t>
      </w:r>
      <w:r w:rsidR="006944B1">
        <w:t>conviction of the cross- burning</w:t>
      </w:r>
      <w:r w:rsidR="006944B1">
        <w:fldChar w:fldCharType="begin"/>
      </w:r>
      <w:r w:rsidR="006944B1">
        <w:instrText xml:space="preserve"> ADDIN ZOTERO_ITEM CSL_CITATION {"citationID":"V8ODiIDh","properties":{"formattedCitation":"(Kommers et al. 153)","plainCitation":"(Kommers et al. 153)","noteIndex":0},"citationItems":[{"id":524,"uris":["http://zotero.org/users/local/s8f0QVnP/items/2ESIL2KE"],"uri":["http://zotero.org/users/local/s8f0QVnP/items/2ESIL2KE"],"itemData":{"id":524,"type":"book","title":"American Constitutional Law: Liberty, Community, and the Bill of Rights","publisher":"Rowman &amp; Littlefield Publishers","source":"Google Scholar","title-short":"American Constitutional Law","author":[{"family":"Kommers","given":"Donald P."},{"family":"Finn","given":"John E."},{"family":"Jacobsohn","given":"Gary J."}],"issued":{"date-parts":[["2004"]]}},"locator":"153","label":"page"}],"schema":"https://github.com/citation-style-language/schema/raw/master/csl-citation.json"} </w:instrText>
      </w:r>
      <w:r w:rsidR="006944B1">
        <w:fldChar w:fldCharType="separate"/>
      </w:r>
      <w:r w:rsidRPr="006944B1" w:rsidR="006944B1">
        <w:rPr>
          <w:rFonts w:ascii="Times New Roman" w:hAnsi="Times New Roman" w:cs="Times New Roman"/>
        </w:rPr>
        <w:t>(Kommers et al. 153)</w:t>
      </w:r>
      <w:r w:rsidR="006944B1">
        <w:fldChar w:fldCharType="end"/>
      </w:r>
      <w:r w:rsidRPr="00F53287" w:rsidR="007A23A0">
        <w:t xml:space="preserve">The case was presented </w:t>
      </w:r>
      <w:r w:rsidRPr="00F53287" w:rsidR="00F53287">
        <w:t>involving</w:t>
      </w:r>
      <w:r w:rsidRPr="00F53287" w:rsidR="007A23A0">
        <w:t xml:space="preserve"> a </w:t>
      </w:r>
      <w:r w:rsidRPr="00F53287" w:rsidR="00F53287">
        <w:t>juvenile</w:t>
      </w:r>
      <w:r w:rsidRPr="00F53287" w:rsidR="007A23A0">
        <w:t xml:space="preserve"> named Viktora, who in an attempt to intimidate a black family burned the cross inside the fence of their home. The juvenile was charged against the bias-motivated crime. (</w:t>
      </w:r>
      <w:r w:rsidRPr="00F53287" w:rsidR="00F53287">
        <w:t>Victoria</w:t>
      </w:r>
      <w:r w:rsidRPr="00F53287" w:rsidR="007A23A0">
        <w:t xml:space="preserve"> was </w:t>
      </w:r>
      <w:r w:rsidRPr="00F53287" w:rsidR="00F53287">
        <w:t>referred</w:t>
      </w:r>
      <w:r w:rsidRPr="00F53287" w:rsidR="007A23A0">
        <w:t xml:space="preserve"> to in the case by his initials, as per his juvenile identity). The trial court agreed with the attorney of the </w:t>
      </w:r>
      <w:r w:rsidRPr="00F53287" w:rsidR="00F53287">
        <w:t>Juvenile</w:t>
      </w:r>
      <w:r w:rsidRPr="00F53287" w:rsidR="007A23A0">
        <w:t xml:space="preserve"> that the ordinance </w:t>
      </w:r>
      <w:r w:rsidRPr="00F53287" w:rsidR="00F53287">
        <w:t>violated</w:t>
      </w:r>
      <w:r w:rsidRPr="00F53287" w:rsidR="007A23A0">
        <w:t xml:space="preserve"> the first </w:t>
      </w:r>
      <w:r w:rsidRPr="00F53287" w:rsidR="00F53287">
        <w:t>amendment</w:t>
      </w:r>
      <w:r w:rsidRPr="00F53287" w:rsidR="007A23A0">
        <w:t xml:space="preserve">.   The Minnesota </w:t>
      </w:r>
      <w:r w:rsidRPr="00F53287" w:rsidR="00F53287">
        <w:t>Supreme</w:t>
      </w:r>
      <w:r w:rsidRPr="00F53287" w:rsidR="007A23A0">
        <w:t xml:space="preserve"> </w:t>
      </w:r>
      <w:r w:rsidRPr="00F53287" w:rsidR="00F53287">
        <w:t>court also held</w:t>
      </w:r>
      <w:r w:rsidRPr="00F53287" w:rsidR="007A23A0">
        <w:t xml:space="preserve"> the juvenile court </w:t>
      </w:r>
      <w:r w:rsidRPr="00F53287" w:rsidR="00F53287">
        <w:t>decision</w:t>
      </w:r>
      <w:r w:rsidRPr="00F53287" w:rsidR="007A23A0">
        <w:t xml:space="preserve"> </w:t>
      </w:r>
      <w:r w:rsidRPr="00F53287" w:rsidR="00F53287">
        <w:t>legal</w:t>
      </w:r>
      <w:r w:rsidRPr="00F53287" w:rsidR="007A23A0">
        <w:t xml:space="preserve">. </w:t>
      </w:r>
      <w:r w:rsidRPr="00F53287" w:rsidR="00F53287">
        <w:t>After</w:t>
      </w:r>
      <w:r w:rsidRPr="00F53287" w:rsidR="007A23A0">
        <w:t xml:space="preserve"> when Viktora appealed to the Supreme Court, the court reversed the decision. The Supreme Court argued that the statue was designed to </w:t>
      </w:r>
      <w:r w:rsidRPr="00F53287" w:rsidR="00F53287">
        <w:t>prohibit the expressions that are against another's will, or which cause anger and fear in other people. The Supreme Court argued that it was not right to consider the ban as content- specific discrimination. The Court opined that it appears not reasonable for St. Paul to consider it as the content- specific discrimination. 
</w:t>
      </w:r>
    </w:p>
    <w:p w:rsidR="00F53287" w:rsidP="003B661C">
      <w:pPr>
        <w:jc w:val="both"/>
        <w:rPr>
          <w:rFonts w:eastAsia="Times New Roman" w:cstheme="minorHAnsi"/>
          <w:lang w:eastAsia="en-US"/>
        </w:rPr>
      </w:pPr>
      <w:r w:rsidRPr="00A10F6F">
        <w:rPr>
          <w:i/>
        </w:rPr>
        <w:t xml:space="preserve">Boy Scouts of America vs. Dale case analysis: </w:t>
      </w:r>
      <w:r w:rsidRPr="003B661C" w:rsidR="00832D5C">
        <w:t xml:space="preserve">The Boy Scouts of America vs. the Dale case involved a private organization with that of a gay citizen. The Bay scouts is a non- for profit organization in the U.S. the organization claims that its values do not involve any such action which is against the natural act. They also maintain that their motto is to instill the values in young people. In the court, the Boy Scouts maintained that the homosexual conduct comes against </w:t>
      </w:r>
      <w:r w:rsidRPr="003B661C" w:rsidR="00832D5C">
        <w:t xml:space="preserve">the values of nature, therefore it is also inconsistent with the values of the Boy Scouts organization. On the other side, </w:t>
      </w:r>
      <w:r w:rsidRPr="003B661C" w:rsidR="003B661C">
        <w:t>Dale</w:t>
      </w:r>
      <w:r w:rsidRPr="003B661C" w:rsidR="00832D5C">
        <w:t xml:space="preserve"> was an extraordinary student, whose academic record proved that he has been an exceptional </w:t>
      </w:r>
      <w:r w:rsidRPr="003B661C" w:rsidR="003B661C">
        <w:t>student.</w:t>
      </w:r>
      <w:r w:rsidRPr="003B661C" w:rsidR="00832D5C">
        <w:t xml:space="preserve"> </w:t>
      </w:r>
      <w:r w:rsidRPr="003B661C" w:rsidR="003B661C">
        <w:t>But</w:t>
      </w:r>
      <w:r w:rsidRPr="003B661C" w:rsidR="00832D5C">
        <w:t xml:space="preserve"> when he </w:t>
      </w:r>
      <w:r w:rsidRPr="003B661C" w:rsidR="003B661C">
        <w:t xml:space="preserve">found </w:t>
      </w:r>
      <w:r w:rsidRPr="003B661C" w:rsidR="00832D5C">
        <w:t>that</w:t>
      </w:r>
      <w:r w:rsidRPr="003B661C" w:rsidR="00D625C4">
        <w:t xml:space="preserve"> </w:t>
      </w:r>
      <w:r w:rsidRPr="003B661C" w:rsidR="00832D5C">
        <w:t xml:space="preserve">he was more prone </w:t>
      </w:r>
      <w:r w:rsidRPr="003B661C" w:rsidR="00D625C4">
        <w:t>towards the LGBT community, he became the resident of that society. Considering his such activities, the Boy Scouts revoked his membership</w:t>
      </w:r>
      <w:r w:rsidR="006944B1">
        <w:fldChar w:fldCharType="begin"/>
      </w:r>
      <w:r w:rsidR="006944B1">
        <w:instrText xml:space="preserve"> ADDIN ZOTERO_ITEM CSL_CITATION {"citationID":"eowHVOqB","properties":{"formattedCitation":"(Kommers et al. 172)","plainCitation":"(Kommers et al. 172)","noteIndex":0},"citationItems":[{"id":524,"uris":["http://zotero.org/users/local/s8f0QVnP/items/2ESIL2KE"],"uri":["http://zotero.org/users/local/s8f0QVnP/items/2ESIL2KE"],"itemData":{"id":524,"type":"book","title":"American Constitutional Law: Liberty, Community, and the Bill of Rights","publisher":"Rowman &amp; Littlefield Publishers","source":"Google Scholar","title-short":"American Constitutional Law","author":[{"family":"Kommers","given":"Donald P."},{"family":"Finn","given":"John E."},{"family":"Jacobsohn","given":"Gary J."}],"issued":{"date-parts":[["2004"]]}},"locator":"172","label":"page"}],"schema":"https://github.com/citation-style-language/schema/raw/master/csl-citation.json"} </w:instrText>
      </w:r>
      <w:r w:rsidR="006944B1">
        <w:fldChar w:fldCharType="separate"/>
      </w:r>
      <w:r w:rsidRPr="006944B1" w:rsidR="006944B1">
        <w:rPr>
          <w:rFonts w:ascii="Times New Roman" w:hAnsi="Times New Roman" w:cs="Times New Roman"/>
        </w:rPr>
        <w:t>(Kommers et al. 172)</w:t>
      </w:r>
      <w:r w:rsidR="006944B1">
        <w:fldChar w:fldCharType="end"/>
      </w:r>
      <w:r w:rsidRPr="003B661C" w:rsidR="00D625C4">
        <w:t xml:space="preserve">. Dale challenged the decision of the Bay </w:t>
      </w:r>
      <w:r w:rsidRPr="003B661C" w:rsidR="003B661C">
        <w:t>scouts’</w:t>
      </w:r>
      <w:r w:rsidRPr="003B661C" w:rsidR="00D625C4">
        <w:t xml:space="preserve"> organization in the state court of New Jersey that the Boy Scouts </w:t>
      </w:r>
      <w:r w:rsidRPr="003B661C" w:rsidR="003B661C">
        <w:t>decision</w:t>
      </w:r>
      <w:r w:rsidRPr="003B661C" w:rsidR="00D625C4">
        <w:t xml:space="preserve"> of eliminating him is against the public accommodation law of the New Jersey state. In the case, the court upheld that any </w:t>
      </w:r>
      <w:r w:rsidRPr="003B661C" w:rsidR="003B661C">
        <w:t>private</w:t>
      </w:r>
      <w:r w:rsidRPr="003B661C" w:rsidR="00D625C4">
        <w:t xml:space="preserve"> organization can eliminate any citizen if it found the activities of that person in violation of the values of that organization.</w:t>
      </w:r>
      <w:r w:rsidRPr="003B661C" w:rsidR="003B661C">
        <w:t xml:space="preserve"> The court mentioned in this context also that the private organizations must value the concerns of the first amendment also. The New Jersey Supreme Court held in its decision that Dale presence in ineffective to the other scouts. However, when the case was forwarded in the U.s Supreme court, it upheld that the first amendment protects the scope if each and every member of any organization is needed to take on board. This expressive association, however, do not limit the association of any individual. The Supreme Court considered the New Jersey court's decision aloof to the first amendment. </w:t>
      </w:r>
      <w:r w:rsidRPr="003B661C" w:rsidR="003B661C">
        <w:rPr>
          <w:rFonts w:eastAsia="Times New Roman" w:cstheme="minorHAnsi"/>
          <w:lang w:eastAsia="en-US"/>
        </w:rPr>
        <w:t>The court refrained from giving any opinion about homosexuality and allowed the Boy Scouts to practice their values. 
</w:t>
      </w:r>
    </w:p>
    <w:p w:rsidR="00F53287" w:rsidP="000172F1">
      <w:pPr>
        <w:jc w:val="both"/>
      </w:pPr>
      <w:r w:rsidRPr="006944B1">
        <w:rPr>
          <w:rFonts w:eastAsia="Times New Roman" w:cstheme="minorHAnsi"/>
          <w:i/>
          <w:lang w:eastAsia="en-US"/>
        </w:rPr>
        <w:t>Comparative Analysis</w:t>
      </w:r>
      <w:r>
        <w:rPr>
          <w:rFonts w:eastAsia="Times New Roman" w:cstheme="minorHAnsi"/>
          <w:lang w:eastAsia="en-US"/>
        </w:rPr>
        <w:t xml:space="preserve">: </w:t>
      </w:r>
      <w:r w:rsidR="004A424B">
        <w:rPr>
          <w:rFonts w:eastAsia="Times New Roman" w:cstheme="minorHAnsi"/>
          <w:lang w:eastAsia="en-US"/>
        </w:rPr>
        <w:t xml:space="preserve">Considering the case circumstances in both cases, it appears that </w:t>
      </w:r>
      <w:r w:rsidR="002821DE">
        <w:rPr>
          <w:rFonts w:eastAsia="Times New Roman" w:cstheme="minorHAnsi"/>
          <w:lang w:eastAsia="en-US"/>
        </w:rPr>
        <w:t xml:space="preserve">both these cases follow different perspectives. In </w:t>
      </w:r>
      <w:r w:rsidRPr="009E4D98" w:rsidR="002821DE">
        <w:rPr>
          <w:rFonts w:eastAsia="Times New Roman" w:cstheme="minorHAnsi"/>
          <w:i/>
          <w:lang w:eastAsia="en-US"/>
        </w:rPr>
        <w:t>R.A.V v. St. Paul</w:t>
      </w:r>
      <w:r w:rsidR="002821DE">
        <w:rPr>
          <w:rFonts w:eastAsia="Times New Roman" w:cstheme="minorHAnsi"/>
          <w:lang w:eastAsia="en-US"/>
        </w:rPr>
        <w:t xml:space="preserve"> case, it has been noticed that the complete action was considered by the Supreme Court as challenging the first amendment of the U.S constitution. This case is much related to the </w:t>
      </w:r>
      <w:r w:rsidR="009E4D98">
        <w:rPr>
          <w:rFonts w:eastAsia="Times New Roman" w:cstheme="minorHAnsi"/>
          <w:lang w:eastAsia="en-US"/>
        </w:rPr>
        <w:t xml:space="preserve">expansion in the discrimination theory. Mowrer suggests that the discrimination theory is relatively relevant in describing the court opinion in </w:t>
      </w:r>
      <w:r w:rsidRPr="009E4D98" w:rsidR="009E4D98">
        <w:rPr>
          <w:rFonts w:eastAsia="Times New Roman" w:cstheme="minorHAnsi"/>
          <w:i/>
          <w:lang w:eastAsia="en-US"/>
        </w:rPr>
        <w:t>R.A.V v. St. Paul</w:t>
      </w:r>
      <w:r w:rsidR="009E4D98">
        <w:rPr>
          <w:rFonts w:eastAsia="Times New Roman" w:cstheme="minorHAnsi"/>
          <w:lang w:eastAsia="en-US"/>
        </w:rPr>
        <w:t xml:space="preserve"> </w:t>
      </w:r>
      <w:r w:rsidR="009E4D98">
        <w:rPr>
          <w:rFonts w:eastAsia="Times New Roman" w:cstheme="minorHAnsi"/>
          <w:lang w:eastAsia="en-US"/>
        </w:rPr>
        <w:t>case</w:t>
      </w:r>
      <w:r w:rsidR="009E4D98">
        <w:rPr>
          <w:rFonts w:eastAsia="Times New Roman" w:cstheme="minorHAnsi"/>
          <w:lang w:eastAsia="en-US"/>
        </w:rPr>
        <w:fldChar w:fldCharType="begin"/>
      </w:r>
      <w:r w:rsidR="009E4D98">
        <w:rPr>
          <w:rFonts w:eastAsia="Times New Roman" w:cstheme="minorHAnsi"/>
          <w:lang w:eastAsia="en-US"/>
        </w:rPr>
        <w:instrText xml:space="preserve"> ADDIN ZOTERO_ITEM CSL_CITATION {"citationID":"nQXoONTY","properties":{"formattedCitation":"(Mowrer 5)","plainCitation":"(Mowrer 5)","noteIndex":0},"citationItems":[{"id":525,"uris":["http://zotero.org/users/local/s8f0QVnP/items/Z6BSWYKF"],"uri":["http://zotero.org/users/local/s8f0QVnP/items/Z6BSWYKF"],"itemData":{"id":525,"type":"article-journal","title":"Learning theory and behavior.","source":"Google Scholar","author":[{"family":"Mowrer","given":"Orval"}],"issued":{"date-parts":[["1960"]]}},"locator":"5","label":"page"}],"schema":"https://github.com/citation-style-language/schema/raw/master/csl-citation.json"} </w:instrText>
      </w:r>
      <w:r w:rsidR="009E4D98">
        <w:rPr>
          <w:rFonts w:eastAsia="Times New Roman" w:cstheme="minorHAnsi"/>
          <w:lang w:eastAsia="en-US"/>
        </w:rPr>
        <w:fldChar w:fldCharType="separate"/>
      </w:r>
      <w:r w:rsidRPr="009E4D98" w:rsidR="009E4D98">
        <w:rPr>
          <w:rFonts w:ascii="Times New Roman" w:hAnsi="Times New Roman" w:cs="Times New Roman"/>
        </w:rPr>
        <w:t>(Mowrer 5)</w:t>
      </w:r>
      <w:r w:rsidR="009E4D98">
        <w:rPr>
          <w:rFonts w:eastAsia="Times New Roman" w:cstheme="minorHAnsi"/>
          <w:lang w:eastAsia="en-US"/>
        </w:rPr>
        <w:fldChar w:fldCharType="end"/>
      </w:r>
      <w:r w:rsidR="009E4D98">
        <w:rPr>
          <w:rFonts w:eastAsia="Times New Roman" w:cstheme="minorHAnsi"/>
          <w:lang w:eastAsia="en-US"/>
        </w:rPr>
        <w:t xml:space="preserve">. The discrimination theory makes the court and the liberal democratic institutions stand in front of each. It suggests that the court opinion just </w:t>
      </w:r>
      <w:r w:rsidR="009E4D98">
        <w:rPr>
          <w:rFonts w:eastAsia="Times New Roman" w:cstheme="minorHAnsi"/>
          <w:lang w:eastAsia="en-US"/>
        </w:rPr>
        <w:t xml:space="preserve">remains against any entity for the reason as it is baring anyone to suppress his or her anguish feelings. Since the human has different feelings at a different place in times, therefore it remains pertinent to imply the discrimination theory in this case. In the other case, </w:t>
      </w:r>
      <w:r w:rsidRPr="00A10F6F" w:rsidR="009E4D98">
        <w:rPr>
          <w:i/>
        </w:rPr>
        <w:t xml:space="preserve">Boy Scouts of America vs. Dale </w:t>
      </w:r>
      <w:r w:rsidRPr="000172F1" w:rsidR="009E4D98">
        <w:t>case</w:t>
      </w:r>
      <w:r w:rsidRPr="000172F1" w:rsidR="009E4D98">
        <w:t xml:space="preserve">, the Supreme Court barred from expressing its opinion about homosexuality. The Supreme Court had all the options to give a legal stance on the issue pertaining to homosexuality in the United States but is restrained from doing so. This is what the judicial restraint theory suggests. </w:t>
      </w:r>
      <w:r w:rsidRPr="000172F1" w:rsidR="000172F1">
        <w:t>Although Dale had all the options to pursue the membership of the American Scouts club, as by no manner he or his association was found guilty against the first amendment. But considering all such perspective, the U.S Supreme Court upheld the private organization's stance. The Supreme Court's actions must, therefore, conform to that of the judicial restraint theory.  
</w:t>
      </w:r>
    </w:p>
    <w:p w:rsidR="000172F1" w:rsidP="000172F1">
      <w:pPr>
        <w:jc w:val="both"/>
      </w:pPr>
      <w:r w:rsidRPr="003A6EB4">
        <w:rPr>
          <w:i/>
        </w:rPr>
        <w:t>Contrast Analysis</w:t>
      </w:r>
      <w:r>
        <w:t>:</w:t>
      </w:r>
      <w:r w:rsidR="003A6EB4">
        <w:t xml:space="preserve"> I</w:t>
      </w:r>
      <w:r>
        <w:t xml:space="preserve">n both the cases the United States Supreme Court had over ruined the opinions of the lower court. It suggests that the interpretation of the laws in both cases remained different for the judges. In the first case, the judges opined their remarks on the basis of racial discrimination. As the juvenile was first released on the basis that he has exercised his freedom of action which he can enjoy under the first amendment. The Supreme Court overruled this </w:t>
      </w:r>
      <w:r w:rsidR="003A6EB4">
        <w:t>decision</w:t>
      </w:r>
      <w:r>
        <w:t xml:space="preserve"> on the basis </w:t>
      </w:r>
      <w:r w:rsidR="003A6EB4">
        <w:t>that since</w:t>
      </w:r>
      <w:r>
        <w:t xml:space="preserve"> the </w:t>
      </w:r>
      <w:r w:rsidR="003A6EB4">
        <w:t>Juvenile</w:t>
      </w:r>
      <w:r>
        <w:t xml:space="preserve"> has </w:t>
      </w:r>
      <w:r>
        <w:t xml:space="preserve">gone into the territory of the </w:t>
      </w:r>
      <w:r w:rsidR="003A6EB4">
        <w:t>neighbors</w:t>
      </w:r>
      <w:r w:rsidR="000C6D23">
        <w:t xml:space="preserve">, he has, therefore, violated the first amendment by impeding in the freedom of the </w:t>
      </w:r>
      <w:r w:rsidR="003A6EB4">
        <w:t>other</w:t>
      </w:r>
      <w:r w:rsidR="000C6D23">
        <w:t xml:space="preserve">. This decision was also based on the fact that the Juvenile did all the action on the basis of creed discrimination, therefore he has overruled what the first amendment provides to him. In the second case, there is a whole new legal </w:t>
      </w:r>
      <w:r w:rsidR="003A6EB4">
        <w:t>perspective</w:t>
      </w:r>
      <w:r w:rsidR="000C6D23">
        <w:t>. The legal entities are an organization versus the homosexual person. At first instance, it involves not a single person and that of an</w:t>
      </w:r>
      <w:r w:rsidR="003A6EB4">
        <w:t xml:space="preserve"> organization, on another hand it</w:t>
      </w:r>
      <w:r w:rsidR="000C6D23">
        <w:t xml:space="preserve"> </w:t>
      </w:r>
      <w:r w:rsidR="003A6EB4">
        <w:t>involves</w:t>
      </w:r>
      <w:r w:rsidR="000C6D23">
        <w:t xml:space="preserve"> not a naturally normal person but a </w:t>
      </w:r>
      <w:r w:rsidR="003A6EB4">
        <w:t>homosexual</w:t>
      </w:r>
      <w:r w:rsidR="000C6D23">
        <w:t xml:space="preserve"> person. </w:t>
      </w:r>
      <w:r w:rsidR="003A6EB4">
        <w:t>As Koppelman argues that o</w:t>
      </w:r>
      <w:r w:rsidR="000C6D23">
        <w:t xml:space="preserve">n the basis of such </w:t>
      </w:r>
      <w:r w:rsidR="000C6D23">
        <w:t xml:space="preserve">facts the Supreme Court overruled the lower court decision that the organization has the right to exercise freely its will, as it is not contradictory to the </w:t>
      </w:r>
      <w:r w:rsidR="003A6EB4">
        <w:t>constitution</w:t>
      </w:r>
      <w:r w:rsidR="000C6D23">
        <w:t xml:space="preserve"> of the United </w:t>
      </w:r>
      <w:r w:rsidR="003A6EB4">
        <w:t>S</w:t>
      </w:r>
      <w:r w:rsidR="000C6D23">
        <w:t>tate</w:t>
      </w:r>
      <w:r w:rsidR="003A6EB4">
        <w:t>s</w:t>
      </w:r>
      <w:r w:rsidR="003A6EB4">
        <w:fldChar w:fldCharType="begin"/>
      </w:r>
      <w:r w:rsidR="003A6EB4">
        <w:instrText xml:space="preserve"> ADDIN ZOTERO_ITEM CSL_CITATION {"citationID":"9S8pbUfU","properties":{"formattedCitation":"(Koppelman)","plainCitation":"(Koppelman)","noteIndex":0},"citationItems":[{"id":527,"uris":["http://zotero.org/users/local/s8f0QVnP/items/YHTN9DNN"],"uri":["http://zotero.org/users/local/s8f0QVnP/items/YHTN9DNN"],"itemData":{"id":527,"type":"article-journal","title":"Signs of the Times: Dale v. Boy Scouts of America and the Changing Meaning of Nondiscrimination","container-title":"Cardozo L. Rev.","page":"1819","volume":"23","source":"Google Scholar","title-short":"Signs of the Times","author":[{"family":"Koppelman","given":"Andrew"}],"issued":{"date-parts":[["2001"]]}}}],"schema":"https://github.com/citation-style-language/schema/raw/master/csl-citation.json"} </w:instrText>
      </w:r>
      <w:r w:rsidR="003A6EB4">
        <w:fldChar w:fldCharType="separate"/>
      </w:r>
      <w:r w:rsidRPr="003A6EB4" w:rsidR="003A6EB4">
        <w:rPr>
          <w:rFonts w:ascii="Times New Roman" w:hAnsi="Times New Roman" w:cs="Times New Roman"/>
        </w:rPr>
        <w:t>(Koppelman</w:t>
      </w:r>
      <w:r w:rsidR="00447361">
        <w:rPr>
          <w:rFonts w:ascii="Times New Roman" w:hAnsi="Times New Roman" w:cs="Times New Roman"/>
        </w:rPr>
        <w:t xml:space="preserve"> 89</w:t>
      </w:r>
      <w:r w:rsidRPr="003A6EB4" w:rsidR="003A6EB4">
        <w:rPr>
          <w:rFonts w:ascii="Times New Roman" w:hAnsi="Times New Roman" w:cs="Times New Roman"/>
        </w:rPr>
        <w:t>)</w:t>
      </w:r>
      <w:r w:rsidR="003A6EB4">
        <w:fldChar w:fldCharType="end"/>
      </w:r>
      <w:r w:rsidR="000C6D23">
        <w:t xml:space="preserve">. For the part of Dale, the Supreme Court refrained from giving its stance. </w:t>
      </w:r>
    </w:p>
    <w:p w:rsidR="00897721" w:rsidP="003A6EB4">
      <w:pPr>
        <w:jc w:val="both"/>
      </w:pPr>
      <w:r w:rsidRPr="003A6EB4">
        <w:rPr>
          <w:i/>
        </w:rPr>
        <w:t xml:space="preserve">The first amendment:  </w:t>
      </w:r>
      <w:r w:rsidRPr="00897721" w:rsidR="003A6EB4">
        <w:t xml:space="preserve">The first amendment of the constitution of the United States assures complete freedom in terms of religion, assembly, speech, and expression. Brennan and Harv </w:t>
      </w:r>
      <w:r w:rsidRPr="00897721" w:rsidR="00A4533A">
        <w:t>ha</w:t>
      </w:r>
      <w:r w:rsidRPr="00897721" w:rsidR="003A6EB4">
        <w:t xml:space="preserve">ve argued that the first amendment remains largely </w:t>
      </w:r>
      <w:r w:rsidRPr="00897721" w:rsidR="00A4533A">
        <w:t>debatable</w:t>
      </w:r>
      <w:r w:rsidRPr="00897721" w:rsidR="003A6EB4">
        <w:fldChar w:fldCharType="begin"/>
      </w:r>
      <w:r w:rsidRPr="00897721" w:rsidR="00A4533A">
        <w:instrText xml:space="preserve"> ADDIN ZOTERO_ITEM CSL_CITATION {"citationID":"FWfX1MRn","properties":{"formattedCitation":"(Brennan Jr)","plainCitation":"(Brennan Jr)","noteIndex":0},"citationItems":[{"id":529,"uris":["http://zotero.org/users/local/s8f0QVnP/items/XUH9XHQK"],"uri":["http://zotero.org/users/local/s8f0QVnP/items/XUH9XHQK"],"itemData":{"id":529,"type":"article-journal","title":"The Supreme Court and the Meiklejohn interpretation of the first amendment","container-title":"Harv. L. Rev.","page":"1","volume":"79","source":"Google Scholar","author":[{"family":"Brennan Jr","given":"William J."}],"issued":{"date-parts":[["1965"]]}}}],"schema":"https://github.com/citation-style-language/schema/raw/master/csl-citation.json"} </w:instrText>
      </w:r>
      <w:r w:rsidRPr="00897721" w:rsidR="003A6EB4">
        <w:fldChar w:fldCharType="separate"/>
      </w:r>
      <w:r w:rsidRPr="00897721" w:rsidR="00A4533A">
        <w:rPr>
          <w:rFonts w:ascii="Times New Roman" w:hAnsi="Times New Roman" w:cs="Times New Roman"/>
        </w:rPr>
        <w:t>(Brennan Jr</w:t>
      </w:r>
      <w:r>
        <w:rPr>
          <w:rFonts w:ascii="Times New Roman" w:hAnsi="Times New Roman" w:cs="Times New Roman"/>
        </w:rPr>
        <w:t xml:space="preserve"> 97</w:t>
      </w:r>
      <w:r w:rsidRPr="00897721" w:rsidR="00A4533A">
        <w:rPr>
          <w:rFonts w:ascii="Times New Roman" w:hAnsi="Times New Roman" w:cs="Times New Roman"/>
        </w:rPr>
        <w:t>)</w:t>
      </w:r>
      <w:r w:rsidRPr="00897721" w:rsidR="003A6EB4">
        <w:fldChar w:fldCharType="end"/>
      </w:r>
      <w:r w:rsidRPr="00897721" w:rsidR="00A4533A">
        <w:t>. They believe that the interpretation of the first amendment by the Courts largely depends upon the aspect that how the judge has been witnessing the case in hand. In t</w:t>
      </w:r>
      <w:bookmarkStart w:id="0" w:name="_GoBack"/>
      <w:bookmarkEnd w:id="0"/>
      <w:r w:rsidRPr="00897721" w:rsidR="00A4533A">
        <w:t xml:space="preserve">he circumstances in these two cases, the Supreme Court has maintained the freedom enshrined over the participants from the constitution. In the first case, the Supreme Court held the freedom of the victim party, whereas the lower court opined that the juvenile had the freedom to exercise his expression or feelings. In the next case, the Supreme Court rested its opinion with the organization, as some believe that the organization was much more obedient in exercising its freedom, as it was not violating the values he had surrendered in front of the state of the U.S. the Supreme Court remained silent on the fate of the second party which shows that- t some extent, the court is </w:t>
      </w:r>
      <w:r w:rsidRPr="00897721">
        <w:t>adamant</w:t>
      </w:r>
      <w:r w:rsidRPr="00897721" w:rsidR="00A4533A">
        <w:t xml:space="preserve"> of its responsibility</w:t>
      </w:r>
      <w:r w:rsidRPr="00897721">
        <w:t xml:space="preserve"> </w:t>
      </w:r>
      <w:r w:rsidRPr="00897721" w:rsidR="00A4533A">
        <w:t xml:space="preserve">towards the </w:t>
      </w:r>
      <w:r w:rsidRPr="00897721">
        <w:t>citizen</w:t>
      </w:r>
      <w:r w:rsidRPr="00897721" w:rsidR="00A4533A">
        <w:t xml:space="preserve"> also.</w:t>
      </w:r>
    </w:p>
    <w:p w:rsidR="00897721">
      <w:pPr>
        <w:suppressAutoHyphens w:val="0"/>
      </w:pPr>
      <w:r>
        <w:br w:type="page"/>
      </w:r>
    </w:p>
    <w:p w:rsidR="000172F1" w:rsidP="00BC0059">
      <w:pPr>
        <w:pStyle w:val="Heading1"/>
        <w:rPr>
          <w:b/>
          <w:i/>
        </w:rPr>
      </w:pPr>
      <w:r w:rsidRPr="00BC0059">
        <w:rPr>
          <w:b/>
        </w:rPr>
        <w:t>The central</w:t>
      </w:r>
      <w:r w:rsidRPr="00BC0059">
        <w:rPr>
          <w:b/>
        </w:rPr>
        <w:t xml:space="preserve"> concern of Laura Beth Nielsen, s</w:t>
      </w:r>
      <w:r w:rsidRPr="00BC0059">
        <w:rPr>
          <w:b/>
        </w:rPr>
        <w:t xml:space="preserve">et forth in her chapter titled </w:t>
      </w:r>
      <w:r w:rsidRPr="00BC0059">
        <w:rPr>
          <w:b/>
        </w:rPr>
        <w:t>License to Harass</w:t>
      </w:r>
      <w:r w:rsidRPr="00BC0059" w:rsidR="00A4533A">
        <w:rPr>
          <w:b/>
          <w:i/>
        </w:rPr>
        <w:t xml:space="preserve">     </w:t>
      </w:r>
    </w:p>
    <w:p w:rsidR="00BC0059" w:rsidP="002A1961">
      <w:pPr>
        <w:jc w:val="both"/>
      </w:pPr>
      <w:r>
        <w:t xml:space="preserve">The concerns of Laura Beth Nielsen in her chapter License to Harass are widely related to </w:t>
      </w:r>
      <w:r w:rsidR="00D8477B">
        <w:t>the public</w:t>
      </w:r>
      <w:r>
        <w:t xml:space="preserve"> </w:t>
      </w:r>
      <w:r w:rsidR="00D8477B">
        <w:t>offensive</w:t>
      </w:r>
      <w:r>
        <w:t xml:space="preserve"> </w:t>
      </w:r>
      <w:r w:rsidR="00D8477B">
        <w:t>speeches</w:t>
      </w:r>
      <w:r>
        <w:t xml:space="preserve">. She </w:t>
      </w:r>
      <w:r w:rsidR="00D8477B">
        <w:t>has observed the hate words being spoken to</w:t>
      </w:r>
      <w:r>
        <w:t xml:space="preserve"> </w:t>
      </w:r>
      <w:r w:rsidR="00D8477B">
        <w:t xml:space="preserve">any American remains hostile and derogatory. She has placed just not the disadvantageous groups to analyze the impact of such words but has also examined the impressions of those who don't belong to the low classes or the immigrant classes. In doing so, she has analyzed the words being thrown over to women, to gays, to the lesbians, and to other such communities. </w:t>
      </w:r>
      <w:r w:rsidRPr="004F6878" w:rsidR="00D8477B">
        <w:rPr>
          <w:i/>
        </w:rPr>
        <w:t>The concern raised by her in this chapter is about aggression and hostility</w:t>
      </w:r>
      <w:r w:rsidR="00A1106F">
        <w:rPr>
          <w:i/>
        </w:rPr>
        <w:fldChar w:fldCharType="begin"/>
      </w:r>
      <w:r w:rsidR="00A1106F">
        <w:rPr>
          <w:i/>
        </w:rPr>
        <w:instrText xml:space="preserve"> ADDIN ZOTERO_ITEM CSL_CITATION {"citationID":"oiAlhfmO","properties":{"formattedCitation":"(Nielsen 172)","plainCitation":"(Nielsen 172)","noteIndex":0},"citationItems":[{"id":531,"uris":["http://zotero.org/users/local/s8f0QVnP/items/FXQACRH7"],"uri":["http://zotero.org/users/local/s8f0QVnP/items/FXQACRH7"],"itemData":{"id":531,"type":"book","title":"License to harass: Law, hierarchy, and offensive public speech","publisher":"Princeton University Press","source":"Google Scholar","title-short":"License to harass","author":[{"family":"Nielsen","given":"Laura Beth"}],"issued":{"date-parts":[["2009"]]}},"locator":"172","label":"page"}],"schema":"https://github.com/citation-style-language/schema/raw/master/csl-citation.json"} </w:instrText>
      </w:r>
      <w:r w:rsidR="00A1106F">
        <w:rPr>
          <w:i/>
        </w:rPr>
        <w:fldChar w:fldCharType="separate"/>
      </w:r>
      <w:r w:rsidRPr="00A1106F" w:rsidR="00A1106F">
        <w:rPr>
          <w:rFonts w:ascii="Times New Roman" w:hAnsi="Times New Roman" w:cs="Times New Roman"/>
        </w:rPr>
        <w:t>(Nielsen 172)</w:t>
      </w:r>
      <w:r w:rsidR="00A1106F">
        <w:rPr>
          <w:i/>
        </w:rPr>
        <w:fldChar w:fldCharType="end"/>
      </w:r>
      <w:r w:rsidR="00D8477B">
        <w:t xml:space="preserve">. She believes that such words raise hostility and aggression in the disadvantageous groups. </w:t>
      </w:r>
      <w:r w:rsidR="00A1106F">
        <w:t xml:space="preserve">She has also raised concerns on the role of the state authorities, which she believe that must be more broadened and hostile toward such actors of the society.  The questions that remain relevant in this context put forward by Laura Beth could be that is there any mechanism that suggests that the society and all such actors can remain in a collaborative way? </w:t>
      </w:r>
      <w:r w:rsidR="00044FAF">
        <w:t>And</w:t>
      </w:r>
      <w:r w:rsidR="00A1106F">
        <w:t xml:space="preserve"> also that what the law mentions specifically about the hate speeches thrown towards the disadvantageous groups? </w:t>
      </w:r>
    </w:p>
    <w:p w:rsidR="00044FAF" w:rsidP="002A1961">
      <w:pPr>
        <w:jc w:val="both"/>
      </w:pPr>
      <w:r>
        <w:t xml:space="preserve">These questions could have been asked </w:t>
      </w:r>
      <w:r w:rsidR="00A27F29">
        <w:t>during the Michigan affirmative action cases. These questions remain important as the fourteenth amendment claims the equal protection of rights for all the citizens of the U.S. these questions remained relevant as they talk about the direct role of the United States authorities in calling for the provisions of the equal rights to the United States citizens. Perry argues that calling and debating all this in a very straight forward manner can make sense</w:t>
      </w:r>
      <w:r w:rsidR="00A27F29">
        <w:fldChar w:fldCharType="begin"/>
      </w:r>
      <w:r w:rsidR="00A27F29">
        <w:instrText xml:space="preserve"> ADDIN ZOTERO_ITEM CSL_CITATION {"citationID":"SsC8DQf7","properties":{"formattedCitation":"(Perry 111)","plainCitation":"(Perry 111)","noteIndex":0},"citationItems":[{"id":533,"uris":["http://zotero.org/users/local/s8f0QVnP/items/Q4C9S28J"],"uri":["http://zotero.org/users/local/s8f0QVnP/items/Q4C9S28J"],"itemData":{"id":533,"type":"book","title":"The Michigan affirmative action cases, Landmark law cases &amp; American society","publisher":"Lawrence: University Press of Kansas","source":"Google Scholar","author":[{"family":"Perry","given":"Barbara A."}],"issued":{"date-parts":[["2007"]]}},"locator":"111","label":"page"}],"schema":"https://github.com/citation-style-language/schema/raw/master/csl-citation.json"} </w:instrText>
      </w:r>
      <w:r w:rsidR="00A27F29">
        <w:fldChar w:fldCharType="separate"/>
      </w:r>
      <w:r w:rsidRPr="00A27F29" w:rsidR="00A27F29">
        <w:rPr>
          <w:rFonts w:ascii="Times New Roman" w:hAnsi="Times New Roman" w:cs="Times New Roman"/>
        </w:rPr>
        <w:t>(Perry 111)</w:t>
      </w:r>
      <w:r w:rsidR="00A27F29">
        <w:fldChar w:fldCharType="end"/>
      </w:r>
      <w:r w:rsidR="00A27F29">
        <w:t xml:space="preserve">. She believes that doing so affirms the case of everyone calling out for the provision of rights and freedom. The questions also make sense in the manner that the </w:t>
      </w:r>
      <w:r w:rsidR="00447361">
        <w:t>amendments</w:t>
      </w:r>
      <w:r w:rsidR="00A27F29">
        <w:t xml:space="preserve"> of the </w:t>
      </w:r>
      <w:r w:rsidR="00447361">
        <w:t>U.S</w:t>
      </w:r>
      <w:r w:rsidR="00A27F29">
        <w:t xml:space="preserve"> </w:t>
      </w:r>
      <w:r w:rsidR="00447361">
        <w:t xml:space="preserve">constitution </w:t>
      </w:r>
      <w:r w:rsidR="00A27F29">
        <w:t xml:space="preserve">somewhere remain contradictory. For example, they call for freedom but remains too narrow in </w:t>
      </w:r>
      <w:r w:rsidR="00447361">
        <w:t>defining the actual limits of speech.</w:t>
      </w:r>
    </w:p>
    <w:p w:rsidR="00447361" w:rsidP="00447361">
      <w:pPr>
        <w:pStyle w:val="Heading1"/>
        <w:rPr>
          <w:b/>
        </w:rPr>
      </w:pPr>
      <w:r>
        <w:rPr>
          <w:b/>
        </w:rPr>
        <w:t>Conclusion</w:t>
      </w:r>
    </w:p>
    <w:p w:rsidR="00170F32" w:rsidP="00BC36B8">
      <w:pPr>
        <w:jc w:val="both"/>
      </w:pPr>
      <w:r>
        <w:t xml:space="preserve">This essay has looked into two different cases. The main argument in both the cases was relevant to the freedom enshrined by the first amendment of the U.S constitution. Considering the facts based argument and the opinions of the judges, it becomes much observable that the first amendment </w:t>
      </w:r>
      <w:r w:rsidR="00FF577C">
        <w:t>cannot be read as violating the freedom of citizens by the organizations. Since every organization work in limits of the freedom endowed upon it by the constitution, therefore the organizations with time develop some values, that could in some time comes in clash of the constitution. It is, therefore, remains important to look over to the extent of this clash between the institutional values and that of the constitution. 
</w:t>
      </w:r>
    </w:p>
    <w:p w:rsidR="00170F32">
      <w:pPr>
        <w:suppressAutoHyphens w:val="0"/>
      </w:pPr>
      <w:r>
        <w:br w:type="page"/>
      </w:r>
    </w:p>
    <w:p w:rsidR="002A1961" w:rsidP="00170F32">
      <w:pPr>
        <w:pStyle w:val="Heading1"/>
      </w:pPr>
      <w:r>
        <w:t xml:space="preserve">Works Cited: </w:t>
      </w:r>
    </w:p>
    <w:p w:rsidR="00170F32" w:rsidRPr="00170F32" w:rsidP="00170F3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70F32">
        <w:rPr>
          <w:rFonts w:ascii="Times New Roman" w:hAnsi="Times New Roman" w:cs="Times New Roman"/>
        </w:rPr>
        <w:t xml:space="preserve">Brennan Jr, William J. “The Supreme Court and the </w:t>
      </w:r>
      <w:r w:rsidRPr="00170F32">
        <w:rPr>
          <w:rFonts w:ascii="Times New Roman" w:hAnsi="Times New Roman" w:cs="Times New Roman"/>
        </w:rPr>
        <w:t>Meiklejohn</w:t>
      </w:r>
      <w:r w:rsidRPr="00170F32">
        <w:rPr>
          <w:rFonts w:ascii="Times New Roman" w:hAnsi="Times New Roman" w:cs="Times New Roman"/>
        </w:rPr>
        <w:t xml:space="preserve"> Interpretation of the First Amendment.” </w:t>
      </w:r>
      <w:r w:rsidRPr="00170F32">
        <w:rPr>
          <w:rFonts w:ascii="Times New Roman" w:hAnsi="Times New Roman" w:cs="Times New Roman"/>
          <w:i/>
          <w:iCs/>
        </w:rPr>
        <w:t>Harv. L. Rev.</w:t>
      </w:r>
      <w:r w:rsidRPr="00170F32">
        <w:rPr>
          <w:rFonts w:ascii="Times New Roman" w:hAnsi="Times New Roman" w:cs="Times New Roman"/>
        </w:rPr>
        <w:t>, vol. 79, 1965, p. 1.</w:t>
      </w:r>
    </w:p>
    <w:p w:rsidR="00170F32" w:rsidRPr="00170F32" w:rsidP="00170F32">
      <w:pPr>
        <w:pStyle w:val="Bibliography"/>
        <w:rPr>
          <w:rFonts w:ascii="Times New Roman" w:hAnsi="Times New Roman" w:cs="Times New Roman"/>
        </w:rPr>
      </w:pPr>
      <w:r w:rsidRPr="00170F32">
        <w:rPr>
          <w:rFonts w:ascii="Times New Roman" w:hAnsi="Times New Roman" w:cs="Times New Roman"/>
        </w:rPr>
        <w:t xml:space="preserve">Kommers, Donald P., et al. </w:t>
      </w:r>
      <w:r w:rsidRPr="00170F32">
        <w:rPr>
          <w:rFonts w:ascii="Times New Roman" w:hAnsi="Times New Roman" w:cs="Times New Roman"/>
          <w:i/>
          <w:iCs/>
        </w:rPr>
        <w:t>American Constitutional Law: Liberty, Community, and the Bill of Rights</w:t>
      </w:r>
      <w:r w:rsidRPr="00170F32">
        <w:rPr>
          <w:rFonts w:ascii="Times New Roman" w:hAnsi="Times New Roman" w:cs="Times New Roman"/>
        </w:rPr>
        <w:t>. Rowman &amp; Littlefield Publishers, 2004.</w:t>
      </w:r>
    </w:p>
    <w:p w:rsidR="00170F32" w:rsidRPr="00170F32" w:rsidP="00170F32">
      <w:pPr>
        <w:pStyle w:val="Bibliography"/>
        <w:rPr>
          <w:rFonts w:ascii="Times New Roman" w:hAnsi="Times New Roman" w:cs="Times New Roman"/>
        </w:rPr>
      </w:pPr>
      <w:r w:rsidRPr="00170F32">
        <w:rPr>
          <w:rFonts w:ascii="Times New Roman" w:hAnsi="Times New Roman" w:cs="Times New Roman"/>
        </w:rPr>
        <w:t xml:space="preserve">Koppelman, Andrew. “Signs of the Times: Dale v. Boy Scouts of America and the Changing Meaning of Nondiscrimination.” </w:t>
      </w:r>
      <w:r w:rsidRPr="00170F32">
        <w:rPr>
          <w:rFonts w:ascii="Times New Roman" w:hAnsi="Times New Roman" w:cs="Times New Roman"/>
          <w:i/>
          <w:iCs/>
        </w:rPr>
        <w:t>Cardozo L. Rev.</w:t>
      </w:r>
      <w:r w:rsidRPr="00170F32">
        <w:rPr>
          <w:rFonts w:ascii="Times New Roman" w:hAnsi="Times New Roman" w:cs="Times New Roman"/>
        </w:rPr>
        <w:t>, vol. 23, 2001, p. 1819.</w:t>
      </w:r>
    </w:p>
    <w:p w:rsidR="00170F32" w:rsidRPr="00170F32" w:rsidP="00170F32">
      <w:pPr>
        <w:pStyle w:val="Bibliography"/>
        <w:rPr>
          <w:rFonts w:ascii="Times New Roman" w:hAnsi="Times New Roman" w:cs="Times New Roman"/>
        </w:rPr>
      </w:pPr>
      <w:r w:rsidRPr="00170F32">
        <w:rPr>
          <w:rFonts w:ascii="Times New Roman" w:hAnsi="Times New Roman" w:cs="Times New Roman"/>
        </w:rPr>
        <w:t xml:space="preserve">Mowrer, </w:t>
      </w:r>
      <w:r w:rsidRPr="00170F32">
        <w:rPr>
          <w:rFonts w:ascii="Times New Roman" w:hAnsi="Times New Roman" w:cs="Times New Roman"/>
        </w:rPr>
        <w:t>Orval</w:t>
      </w:r>
      <w:r w:rsidRPr="00170F32">
        <w:rPr>
          <w:rFonts w:ascii="Times New Roman" w:hAnsi="Times New Roman" w:cs="Times New Roman"/>
        </w:rPr>
        <w:t xml:space="preserve">. </w:t>
      </w:r>
      <w:r w:rsidRPr="00170F32">
        <w:rPr>
          <w:rFonts w:ascii="Times New Roman" w:hAnsi="Times New Roman" w:cs="Times New Roman"/>
          <w:i/>
          <w:iCs/>
        </w:rPr>
        <w:t>Learning Theory and Behavior.</w:t>
      </w:r>
      <w:r w:rsidRPr="00170F32">
        <w:rPr>
          <w:rFonts w:ascii="Times New Roman" w:hAnsi="Times New Roman" w:cs="Times New Roman"/>
        </w:rPr>
        <w:t xml:space="preserve"> 1960.</w:t>
      </w:r>
    </w:p>
    <w:p w:rsidR="00170F32" w:rsidRPr="00170F32" w:rsidP="00170F32">
      <w:pPr>
        <w:pStyle w:val="Bibliography"/>
        <w:rPr>
          <w:rFonts w:ascii="Times New Roman" w:hAnsi="Times New Roman" w:cs="Times New Roman"/>
        </w:rPr>
      </w:pPr>
      <w:r w:rsidRPr="00170F32">
        <w:rPr>
          <w:rFonts w:ascii="Times New Roman" w:hAnsi="Times New Roman" w:cs="Times New Roman"/>
        </w:rPr>
        <w:t xml:space="preserve">Nielsen, Laura Beth. </w:t>
      </w:r>
      <w:r w:rsidRPr="00170F32">
        <w:rPr>
          <w:rFonts w:ascii="Times New Roman" w:hAnsi="Times New Roman" w:cs="Times New Roman"/>
          <w:i/>
          <w:iCs/>
        </w:rPr>
        <w:t>License to Harass: Law, Hierarchy, and Offensive Public Speech</w:t>
      </w:r>
      <w:r w:rsidRPr="00170F32">
        <w:rPr>
          <w:rFonts w:ascii="Times New Roman" w:hAnsi="Times New Roman" w:cs="Times New Roman"/>
        </w:rPr>
        <w:t>. Princeton University Press, 2009.</w:t>
      </w:r>
    </w:p>
    <w:p w:rsidR="00170F32" w:rsidRPr="00170F32" w:rsidP="00170F32">
      <w:pPr>
        <w:pStyle w:val="Bibliography"/>
        <w:rPr>
          <w:rFonts w:ascii="Times New Roman" w:hAnsi="Times New Roman" w:cs="Times New Roman"/>
        </w:rPr>
      </w:pPr>
      <w:r w:rsidRPr="00170F32">
        <w:rPr>
          <w:rFonts w:ascii="Times New Roman" w:hAnsi="Times New Roman" w:cs="Times New Roman"/>
        </w:rPr>
        <w:t xml:space="preserve">Perry, Barbara A. </w:t>
      </w:r>
      <w:r w:rsidRPr="00170F32">
        <w:rPr>
          <w:rFonts w:ascii="Times New Roman" w:hAnsi="Times New Roman" w:cs="Times New Roman"/>
          <w:i/>
          <w:iCs/>
        </w:rPr>
        <w:t>The Michigan Affirmative Action Cases, Landmark Law Cases &amp; American Society</w:t>
      </w:r>
      <w:r w:rsidRPr="00170F32">
        <w:rPr>
          <w:rFonts w:ascii="Times New Roman" w:hAnsi="Times New Roman" w:cs="Times New Roman"/>
        </w:rPr>
        <w:t>. Lawrence: University Press of Kansas, 2007.</w:t>
      </w:r>
    </w:p>
    <w:p w:rsidR="00170F32" w:rsidRPr="00170F32" w:rsidP="00170F32">
      <w:pPr>
        <w:ind w:firstLine="0"/>
      </w:pPr>
      <w:r>
        <w:fldChar w:fldCharType="end"/>
      </w:r>
    </w:p>
    <w:p w:rsidR="000172F1" w:rsidP="000172F1">
      <w:pPr>
        <w:jc w:val="both"/>
        <w:rPr>
          <w:rFonts w:ascii="Open Sans" w:hAnsi="Open Sans" w:hint="eastAsia"/>
          <w:i/>
          <w:iCs/>
          <w:color w:val="000000"/>
          <w:sz w:val="30"/>
          <w:szCs w:val="30"/>
          <w:bdr w:val="none" w:sz="0" w:space="0" w:color="auto" w:frame="1"/>
        </w:rPr>
      </w:pPr>
    </w:p>
    <w:p w:rsidR="00F53287" w:rsidP="001630CA">
      <w:pPr>
        <w:pStyle w:val="NormalWeb"/>
        <w:textAlignment w:val="baseline"/>
        <w:rPr>
          <w:rFonts w:ascii="Open Sans" w:hAnsi="Open Sans" w:hint="eastAsia"/>
          <w:i/>
          <w:iCs/>
          <w:color w:val="000000"/>
          <w:sz w:val="30"/>
          <w:szCs w:val="30"/>
          <w:bdr w:val="none" w:sz="0" w:space="0" w:color="auto" w:frame="1"/>
        </w:rPr>
      </w:pPr>
    </w:p>
    <w:p w:rsidR="001630CA" w:rsidRPr="001630CA" w:rsidP="001630CA"/>
    <w:p w:rsidR="001630CA" w:rsidP="00C97054">
      <w:pPr>
        <w:jc w:val="both"/>
      </w:pPr>
    </w:p>
    <w:p w:rsidR="00971474" w:rsidP="00C97054">
      <w:pPr>
        <w:ind w:firstLine="0"/>
        <w:jc w:val="both"/>
        <w:rPr>
          <w:i/>
        </w:rPr>
      </w:pPr>
      <w:r>
        <w:tab/>
      </w:r>
    </w:p>
    <w:p w:rsidR="00971474" w:rsidRPr="005D21F2" w:rsidP="00752DCE">
      <w:pPr>
        <w:ind w:firstLine="0"/>
      </w:pPr>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Open Sans">
    <w:altName w:val="Times New Roman"/>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C36B8">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C36B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172F1"/>
    <w:rsid w:val="00040CBB"/>
    <w:rsid w:val="00044FAF"/>
    <w:rsid w:val="000B78C8"/>
    <w:rsid w:val="000C6D23"/>
    <w:rsid w:val="00115A74"/>
    <w:rsid w:val="0013768E"/>
    <w:rsid w:val="001463B2"/>
    <w:rsid w:val="001630CA"/>
    <w:rsid w:val="00170F32"/>
    <w:rsid w:val="001E60DE"/>
    <w:rsid w:val="001F62C0"/>
    <w:rsid w:val="00200DFC"/>
    <w:rsid w:val="00245E02"/>
    <w:rsid w:val="002821DE"/>
    <w:rsid w:val="002A1961"/>
    <w:rsid w:val="00353B66"/>
    <w:rsid w:val="003A6EB4"/>
    <w:rsid w:val="003B661C"/>
    <w:rsid w:val="00447361"/>
    <w:rsid w:val="00456604"/>
    <w:rsid w:val="004A2675"/>
    <w:rsid w:val="004A424B"/>
    <w:rsid w:val="004F6878"/>
    <w:rsid w:val="004F7139"/>
    <w:rsid w:val="0057093C"/>
    <w:rsid w:val="005D21F2"/>
    <w:rsid w:val="00691EC1"/>
    <w:rsid w:val="006944B1"/>
    <w:rsid w:val="006958C7"/>
    <w:rsid w:val="00752DCE"/>
    <w:rsid w:val="007A23A0"/>
    <w:rsid w:val="007C53FB"/>
    <w:rsid w:val="007D4F95"/>
    <w:rsid w:val="00832D5C"/>
    <w:rsid w:val="00897721"/>
    <w:rsid w:val="008A51DB"/>
    <w:rsid w:val="008B7D18"/>
    <w:rsid w:val="008F1F97"/>
    <w:rsid w:val="008F4052"/>
    <w:rsid w:val="00971474"/>
    <w:rsid w:val="009D4EB3"/>
    <w:rsid w:val="009E4D98"/>
    <w:rsid w:val="00A10F6F"/>
    <w:rsid w:val="00A1106F"/>
    <w:rsid w:val="00A27F29"/>
    <w:rsid w:val="00A4533A"/>
    <w:rsid w:val="00A54BAD"/>
    <w:rsid w:val="00B13D1B"/>
    <w:rsid w:val="00B37158"/>
    <w:rsid w:val="00B818DF"/>
    <w:rsid w:val="00BC0059"/>
    <w:rsid w:val="00BC36B8"/>
    <w:rsid w:val="00C97054"/>
    <w:rsid w:val="00D52117"/>
    <w:rsid w:val="00D625C4"/>
    <w:rsid w:val="00D8477B"/>
    <w:rsid w:val="00DB0D39"/>
    <w:rsid w:val="00E048FA"/>
    <w:rsid w:val="00E14005"/>
    <w:rsid w:val="00E614DD"/>
    <w:rsid w:val="00E627B4"/>
    <w:rsid w:val="00F40E13"/>
    <w:rsid w:val="00F53287"/>
    <w:rsid w:val="00F83220"/>
    <w:rsid w:val="00F9444C"/>
    <w:rsid w:val="00FF577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115A74"/>
    <w:rPr>
      <w:b/>
      <w:bCs/>
    </w:rPr>
  </w:style>
  <w:style w:type="character" w:styleId="Hyperlink">
    <w:name w:val="Hyperlink"/>
    <w:basedOn w:val="DefaultParagraphFont"/>
    <w:uiPriority w:val="99"/>
    <w:semiHidden/>
    <w:unhideWhenUsed/>
    <w:rsid w:val="00115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656988"/>
    <w:rsid w:val="00B03E48"/>
    <w:rsid w:val="00B37669"/>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2019-05-06T07:53:00Z</dcterms:created>
  <dcterms:modified xsi:type="dcterms:W3CDTF">2019-05-09T08:19:00Z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id="KjVqQS6W"/&gt;&lt;style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