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F2BEDE" w14:textId="77777777" w:rsidR="004F3E88" w:rsidRPr="006F2655" w:rsidRDefault="00953CA6" w:rsidP="006F2655">
      <w:pPr>
        <w:spacing w:line="480" w:lineRule="auto"/>
        <w:jc w:val="center"/>
        <w:rPr>
          <w:rFonts w:ascii="Times New Roman" w:hAnsi="Times New Roman" w:cs="Times New Roman"/>
        </w:rPr>
      </w:pPr>
      <w:r w:rsidRPr="006F2655">
        <w:rPr>
          <w:rFonts w:ascii="Times New Roman" w:hAnsi="Times New Roman" w:cs="Times New Roman"/>
        </w:rPr>
        <w:t>Lesson 5</w:t>
      </w:r>
    </w:p>
    <w:p w14:paraId="653488BE" w14:textId="22D3ED95" w:rsidR="006F2655" w:rsidRDefault="00953CA6" w:rsidP="002B5972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Organic solidarity is the result of the division of labor as the members of society become dependent on each other.</w:t>
      </w:r>
      <w:r w:rsidR="00F019AE">
        <w:rPr>
          <w:rFonts w:ascii="Times New Roman" w:hAnsi="Times New Roman" w:cs="Times New Roman"/>
        </w:rPr>
        <w:t xml:space="preserve"> </w:t>
      </w:r>
      <w:r w:rsidR="005E1303">
        <w:rPr>
          <w:rFonts w:ascii="Times New Roman" w:hAnsi="Times New Roman" w:cs="Times New Roman"/>
        </w:rPr>
        <w:t>The</w:t>
      </w:r>
      <w:r w:rsidR="00F019AE">
        <w:rPr>
          <w:rFonts w:ascii="Times New Roman" w:hAnsi="Times New Roman" w:cs="Times New Roman"/>
        </w:rPr>
        <w:t xml:space="preserve"> common example is of a hotel that needs different people for performing different functions. </w:t>
      </w:r>
      <w:r w:rsidR="00002C6D">
        <w:rPr>
          <w:rFonts w:ascii="Times New Roman" w:hAnsi="Times New Roman" w:cs="Times New Roman"/>
        </w:rPr>
        <w:t xml:space="preserve">The characteristics of Organic solidarity that defines modern community includes division of labor, </w:t>
      </w:r>
      <w:r w:rsidR="000651AD">
        <w:rPr>
          <w:rFonts w:ascii="Times New Roman" w:hAnsi="Times New Roman" w:cs="Times New Roman"/>
        </w:rPr>
        <w:t xml:space="preserve">people rely on others for the achievements of goals and achieving common goals. </w:t>
      </w:r>
      <w:r w:rsidR="00D3223A">
        <w:rPr>
          <w:rFonts w:ascii="Times New Roman" w:hAnsi="Times New Roman" w:cs="Times New Roman"/>
        </w:rPr>
        <w:t xml:space="preserve">The common example is an organizational success depending on the collective work of employees. </w:t>
      </w:r>
      <w:r w:rsidR="00F019AE">
        <w:rPr>
          <w:rFonts w:ascii="Times New Roman" w:hAnsi="Times New Roman" w:cs="Times New Roman"/>
        </w:rPr>
        <w:t xml:space="preserve">The architect is responsible for constructing the building; the administration manages the organizational affairs, managers supervise the employees. The </w:t>
      </w:r>
      <w:r w:rsidR="008F606F">
        <w:rPr>
          <w:rFonts w:ascii="Times New Roman" w:hAnsi="Times New Roman" w:cs="Times New Roman"/>
        </w:rPr>
        <w:t xml:space="preserve">labor is divided among chefs, </w:t>
      </w:r>
      <w:r w:rsidR="00815964">
        <w:rPr>
          <w:rFonts w:ascii="Times New Roman" w:hAnsi="Times New Roman" w:cs="Times New Roman"/>
        </w:rPr>
        <w:t xml:space="preserve">wait </w:t>
      </w:r>
      <w:r w:rsidR="008F606F">
        <w:rPr>
          <w:rFonts w:ascii="Times New Roman" w:hAnsi="Times New Roman" w:cs="Times New Roman"/>
        </w:rPr>
        <w:t xml:space="preserve">staff, </w:t>
      </w:r>
      <w:r w:rsidR="00815964">
        <w:rPr>
          <w:rFonts w:ascii="Times New Roman" w:hAnsi="Times New Roman" w:cs="Times New Roman"/>
        </w:rPr>
        <w:t>finance</w:t>
      </w:r>
      <w:r w:rsidR="008F606F">
        <w:rPr>
          <w:rFonts w:ascii="Times New Roman" w:hAnsi="Times New Roman" w:cs="Times New Roman"/>
        </w:rPr>
        <w:t xml:space="preserve"> officers, etc. </w:t>
      </w:r>
      <w:r w:rsidR="00815964">
        <w:rPr>
          <w:rFonts w:ascii="Times New Roman" w:hAnsi="Times New Roman" w:cs="Times New Roman"/>
        </w:rPr>
        <w:t>The hotel services and its operations are dependent on the collaborative output of e</w:t>
      </w:r>
      <w:r w:rsidR="009C04EC">
        <w:rPr>
          <w:rFonts w:ascii="Times New Roman" w:hAnsi="Times New Roman" w:cs="Times New Roman"/>
        </w:rPr>
        <w:t xml:space="preserve">mployees </w:t>
      </w:r>
      <w:sdt>
        <w:sdtPr>
          <w:rPr>
            <w:rFonts w:ascii="Times New Roman" w:hAnsi="Times New Roman" w:cs="Times New Roman"/>
          </w:rPr>
          <w:id w:val="-2072416347"/>
          <w:citation/>
        </w:sdtPr>
        <w:sdtEndPr/>
        <w:sdtContent>
          <w:r w:rsidR="00611F69">
            <w:rPr>
              <w:rFonts w:ascii="Times New Roman" w:hAnsi="Times New Roman" w:cs="Times New Roman"/>
            </w:rPr>
            <w:fldChar w:fldCharType="begin"/>
          </w:r>
          <w:r w:rsidR="00611F69">
            <w:rPr>
              <w:rFonts w:ascii="Times New Roman" w:hAnsi="Times New Roman" w:cs="Times New Roman"/>
            </w:rPr>
            <w:instrText xml:space="preserve"> CITATION Pet121 \l 1033 </w:instrText>
          </w:r>
          <w:r w:rsidR="00611F69">
            <w:rPr>
              <w:rFonts w:ascii="Times New Roman" w:hAnsi="Times New Roman" w:cs="Times New Roman"/>
            </w:rPr>
            <w:fldChar w:fldCharType="separate"/>
          </w:r>
          <w:r w:rsidR="00611F69" w:rsidRPr="00611F69">
            <w:rPr>
              <w:rFonts w:ascii="Times New Roman" w:hAnsi="Times New Roman" w:cs="Times New Roman"/>
              <w:noProof/>
            </w:rPr>
            <w:t>(Thijssen, 2012)</w:t>
          </w:r>
          <w:r w:rsidR="00611F69">
            <w:rPr>
              <w:rFonts w:ascii="Times New Roman" w:hAnsi="Times New Roman" w:cs="Times New Roman"/>
            </w:rPr>
            <w:fldChar w:fldCharType="end"/>
          </w:r>
        </w:sdtContent>
      </w:sdt>
      <w:r w:rsidR="00611F69">
        <w:rPr>
          <w:rFonts w:ascii="Times New Roman" w:hAnsi="Times New Roman" w:cs="Times New Roman"/>
        </w:rPr>
        <w:t>.</w:t>
      </w:r>
      <w:r w:rsidR="00B62A15">
        <w:rPr>
          <w:rFonts w:ascii="Times New Roman" w:hAnsi="Times New Roman" w:cs="Times New Roman"/>
        </w:rPr>
        <w:t xml:space="preserve"> Organic solidarity also explains that people have different beliefs and they take independent roles for performing complex tasks.  </w:t>
      </w:r>
    </w:p>
    <w:p w14:paraId="54174A08" w14:textId="1375933B" w:rsidR="006F2655" w:rsidRDefault="00953CA6" w:rsidP="006F2655">
      <w:pPr>
        <w:spacing w:line="480" w:lineRule="auto"/>
        <w:jc w:val="both"/>
        <w:rPr>
          <w:rFonts w:ascii="Times New Roman" w:hAnsi="Times New Roman" w:cs="Times New Roman"/>
        </w:rPr>
      </w:pPr>
      <w:r w:rsidRPr="006F2655">
        <w:rPr>
          <w:rFonts w:ascii="Times New Roman" w:hAnsi="Times New Roman" w:cs="Times New Roman"/>
        </w:rPr>
        <w:t>Me</w:t>
      </w:r>
      <w:r w:rsidRPr="006F2655">
        <w:rPr>
          <w:rFonts w:ascii="Times New Roman" w:hAnsi="Times New Roman" w:cs="Times New Roman"/>
        </w:rPr>
        <w:t xml:space="preserve">chanical </w:t>
      </w:r>
      <w:r>
        <w:rPr>
          <w:rFonts w:ascii="Times New Roman" w:hAnsi="Times New Roman" w:cs="Times New Roman"/>
        </w:rPr>
        <w:t>solidarity refer</w:t>
      </w:r>
      <w:r w:rsidR="00F019AE">
        <w:rPr>
          <w:rFonts w:ascii="Times New Roman" w:hAnsi="Times New Roman" w:cs="Times New Roman"/>
        </w:rPr>
        <w:t xml:space="preserve">s to the same beliefs and core </w:t>
      </w:r>
      <w:r>
        <w:rPr>
          <w:rFonts w:ascii="Times New Roman" w:hAnsi="Times New Roman" w:cs="Times New Roman"/>
        </w:rPr>
        <w:t xml:space="preserve">values shared by the people. It was prevalent before the industrial revolution when people were performing similar jobs. </w:t>
      </w:r>
      <w:r w:rsidR="005E1303">
        <w:rPr>
          <w:rFonts w:ascii="Times New Roman" w:hAnsi="Times New Roman" w:cs="Times New Roman"/>
        </w:rPr>
        <w:t>Mechanical solidarity stresses more on similarities that changed after indus</w:t>
      </w:r>
      <w:r w:rsidR="00C04652">
        <w:rPr>
          <w:rFonts w:ascii="Times New Roman" w:hAnsi="Times New Roman" w:cs="Times New Roman"/>
        </w:rPr>
        <w:t xml:space="preserve">trialization and modernization </w:t>
      </w:r>
      <w:sdt>
        <w:sdtPr>
          <w:rPr>
            <w:rFonts w:ascii="Times New Roman" w:hAnsi="Times New Roman" w:cs="Times New Roman"/>
          </w:rPr>
          <w:id w:val="-2030943125"/>
          <w:citation/>
        </w:sdtPr>
        <w:sdtEndPr/>
        <w:sdtContent>
          <w:r w:rsidR="00C04652">
            <w:rPr>
              <w:rFonts w:ascii="Times New Roman" w:hAnsi="Times New Roman" w:cs="Times New Roman"/>
            </w:rPr>
            <w:fldChar w:fldCharType="begin"/>
          </w:r>
          <w:r w:rsidR="00C04652">
            <w:rPr>
              <w:rFonts w:ascii="Times New Roman" w:hAnsi="Times New Roman" w:cs="Times New Roman"/>
            </w:rPr>
            <w:instrText xml:space="preserve"> CITATION Hea97 \l 1033 </w:instrText>
          </w:r>
          <w:r w:rsidR="00C04652">
            <w:rPr>
              <w:rFonts w:ascii="Times New Roman" w:hAnsi="Times New Roman" w:cs="Times New Roman"/>
            </w:rPr>
            <w:fldChar w:fldCharType="separate"/>
          </w:r>
          <w:r w:rsidR="00C04652" w:rsidRPr="00C04652">
            <w:rPr>
              <w:rFonts w:ascii="Times New Roman" w:hAnsi="Times New Roman" w:cs="Times New Roman"/>
              <w:noProof/>
            </w:rPr>
            <w:t>(Griffiths, Keirns, &amp; Scaramuzzo, 1997)</w:t>
          </w:r>
          <w:r w:rsidR="00C04652">
            <w:rPr>
              <w:rFonts w:ascii="Times New Roman" w:hAnsi="Times New Roman" w:cs="Times New Roman"/>
            </w:rPr>
            <w:fldChar w:fldCharType="end"/>
          </w:r>
        </w:sdtContent>
      </w:sdt>
      <w:r w:rsidR="00C04652">
        <w:rPr>
          <w:rFonts w:ascii="Times New Roman" w:hAnsi="Times New Roman" w:cs="Times New Roman"/>
        </w:rPr>
        <w:t>.</w:t>
      </w:r>
    </w:p>
    <w:p w14:paraId="043725E0" w14:textId="1A4C90FF" w:rsidR="006F2655" w:rsidRDefault="00953CA6" w:rsidP="002B5972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D3223A">
        <w:rPr>
          <w:rFonts w:ascii="Times New Roman" w:hAnsi="Times New Roman" w:cs="Times New Roman"/>
        </w:rPr>
        <w:t>Gemeinschaft</w:t>
      </w:r>
      <w:proofErr w:type="spellEnd"/>
      <w:r w:rsidR="00D3223A">
        <w:rPr>
          <w:rFonts w:ascii="Times New Roman" w:hAnsi="Times New Roman" w:cs="Times New Roman"/>
        </w:rPr>
        <w:t xml:space="preserve"> stresses on the personal connection of individuals with social values </w:t>
      </w:r>
      <w:r w:rsidR="00CC4C27">
        <w:rPr>
          <w:rFonts w:ascii="Times New Roman" w:hAnsi="Times New Roman" w:cs="Times New Roman"/>
        </w:rPr>
        <w:t>and</w:t>
      </w:r>
      <w:r w:rsidR="00D3223A">
        <w:rPr>
          <w:rFonts w:ascii="Times New Roman" w:hAnsi="Times New Roman" w:cs="Times New Roman"/>
        </w:rPr>
        <w:t xml:space="preserve"> traditional rules.</w:t>
      </w:r>
      <w:proofErr w:type="gramEnd"/>
      <w:r w:rsidR="00D3223A">
        <w:rPr>
          <w:rFonts w:ascii="Times New Roman" w:hAnsi="Times New Roman" w:cs="Times New Roman"/>
        </w:rPr>
        <w:t xml:space="preserve"> The dependence of the people in these values leads to cooperative social organization. </w:t>
      </w:r>
      <w:r w:rsidR="006853CD">
        <w:rPr>
          <w:rFonts w:ascii="Times New Roman" w:hAnsi="Times New Roman" w:cs="Times New Roman"/>
        </w:rPr>
        <w:t xml:space="preserve">The tradition and social norms hold </w:t>
      </w:r>
      <w:r w:rsidR="00CC4C27">
        <w:rPr>
          <w:rFonts w:ascii="Times New Roman" w:hAnsi="Times New Roman" w:cs="Times New Roman"/>
        </w:rPr>
        <w:t>significant</w:t>
      </w:r>
      <w:r w:rsidR="006853CD">
        <w:rPr>
          <w:rFonts w:ascii="Times New Roman" w:hAnsi="Times New Roman" w:cs="Times New Roman"/>
        </w:rPr>
        <w:t xml:space="preserve"> power of influencing people’</w:t>
      </w:r>
      <w:r w:rsidR="00CC4C27">
        <w:rPr>
          <w:rFonts w:ascii="Times New Roman" w:hAnsi="Times New Roman" w:cs="Times New Roman"/>
        </w:rPr>
        <w:t xml:space="preserve">s actions and behaviors </w:t>
      </w:r>
      <w:sdt>
        <w:sdtPr>
          <w:rPr>
            <w:rFonts w:ascii="Times New Roman" w:hAnsi="Times New Roman" w:cs="Times New Roman"/>
          </w:rPr>
          <w:id w:val="936723478"/>
          <w:citation/>
        </w:sdtPr>
        <w:sdtEndPr/>
        <w:sdtContent>
          <w:r w:rsidR="00CC4C27">
            <w:rPr>
              <w:rFonts w:ascii="Times New Roman" w:hAnsi="Times New Roman" w:cs="Times New Roman"/>
            </w:rPr>
            <w:fldChar w:fldCharType="begin"/>
          </w:r>
          <w:r w:rsidR="00CC4C27">
            <w:rPr>
              <w:rFonts w:ascii="Times New Roman" w:hAnsi="Times New Roman" w:cs="Times New Roman"/>
            </w:rPr>
            <w:instrText xml:space="preserve"> CITATION Ash181 \l 1033 </w:instrText>
          </w:r>
          <w:r w:rsidR="00CC4C27">
            <w:rPr>
              <w:rFonts w:ascii="Times New Roman" w:hAnsi="Times New Roman" w:cs="Times New Roman"/>
            </w:rPr>
            <w:fldChar w:fldCharType="separate"/>
          </w:r>
          <w:r w:rsidR="00CC4C27" w:rsidRPr="00CC4C27">
            <w:rPr>
              <w:rFonts w:ascii="Times New Roman" w:hAnsi="Times New Roman" w:cs="Times New Roman"/>
              <w:noProof/>
            </w:rPr>
            <w:t>(Crossman, 2018)</w:t>
          </w:r>
          <w:r w:rsidR="00CC4C27">
            <w:rPr>
              <w:rFonts w:ascii="Times New Roman" w:hAnsi="Times New Roman" w:cs="Times New Roman"/>
            </w:rPr>
            <w:fldChar w:fldCharType="end"/>
          </w:r>
        </w:sdtContent>
      </w:sdt>
      <w:r w:rsidR="00CC4C27">
        <w:rPr>
          <w:rFonts w:ascii="Times New Roman" w:hAnsi="Times New Roman" w:cs="Times New Roman"/>
        </w:rPr>
        <w:t xml:space="preserve">. </w:t>
      </w:r>
      <w:r w:rsidR="009E3D44">
        <w:rPr>
          <w:rFonts w:ascii="Times New Roman" w:hAnsi="Times New Roman" w:cs="Times New Roman"/>
        </w:rPr>
        <w:t xml:space="preserve">The </w:t>
      </w:r>
      <w:proofErr w:type="gramStart"/>
      <w:r w:rsidR="009E3D44">
        <w:rPr>
          <w:rFonts w:ascii="Times New Roman" w:hAnsi="Times New Roman" w:cs="Times New Roman"/>
        </w:rPr>
        <w:t>actions produced by the people of society is</w:t>
      </w:r>
      <w:proofErr w:type="gramEnd"/>
      <w:r w:rsidR="009E3D44">
        <w:rPr>
          <w:rFonts w:ascii="Times New Roman" w:hAnsi="Times New Roman" w:cs="Times New Roman"/>
        </w:rPr>
        <w:t xml:space="preserve"> the result of subjective feeling.</w:t>
      </w:r>
    </w:p>
    <w:p w14:paraId="6DEBAAAA" w14:textId="5B32A823" w:rsidR="00B62A15" w:rsidRDefault="00953CA6" w:rsidP="002B5972">
      <w:pPr>
        <w:spacing w:line="48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Gesellschaft</w:t>
      </w:r>
      <w:proofErr w:type="spellEnd"/>
      <w:r>
        <w:rPr>
          <w:rFonts w:ascii="Times New Roman" w:hAnsi="Times New Roman" w:cs="Times New Roman"/>
        </w:rPr>
        <w:t xml:space="preserve"> emphasizes on the impersonal and indirect connections of the people with society. Formal values and beliefs are more important and supported by the rational </w:t>
      </w:r>
      <w:r>
        <w:rPr>
          <w:rFonts w:ascii="Times New Roman" w:hAnsi="Times New Roman" w:cs="Times New Roman"/>
        </w:rPr>
        <w:lastRenderedPageBreak/>
        <w:t xml:space="preserve">mindset. The </w:t>
      </w:r>
      <w:r w:rsidR="00CC4C27">
        <w:rPr>
          <w:rFonts w:ascii="Times New Roman" w:hAnsi="Times New Roman" w:cs="Times New Roman"/>
        </w:rPr>
        <w:t xml:space="preserve">common examples include </w:t>
      </w:r>
      <w:r w:rsidR="00830DCD">
        <w:rPr>
          <w:rFonts w:ascii="Times New Roman" w:hAnsi="Times New Roman" w:cs="Times New Roman"/>
        </w:rPr>
        <w:t xml:space="preserve">different organizations taking independent roles like bureaucracies and </w:t>
      </w:r>
      <w:r w:rsidR="009E3D44">
        <w:rPr>
          <w:rFonts w:ascii="Times New Roman" w:hAnsi="Times New Roman" w:cs="Times New Roman"/>
        </w:rPr>
        <w:t>judiciary. The organizations are working for maintaining social order in societies.</w:t>
      </w:r>
      <w:bookmarkStart w:id="0" w:name="_GoBack"/>
      <w:bookmarkEnd w:id="0"/>
    </w:p>
    <w:p w14:paraId="3549619E" w14:textId="7CEF8CC4" w:rsidR="006853CD" w:rsidRDefault="00953CA6" w:rsidP="00B62A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32DA4FE5" w14:textId="77777777" w:rsidR="00123F0E" w:rsidRDefault="00123F0E" w:rsidP="002B5972">
      <w:pPr>
        <w:spacing w:line="480" w:lineRule="auto"/>
        <w:jc w:val="both"/>
        <w:rPr>
          <w:rFonts w:ascii="Times New Roman" w:hAnsi="Times New Roman" w:cs="Times New Roman"/>
        </w:rPr>
      </w:pPr>
    </w:p>
    <w:p w14:paraId="66D286F3" w14:textId="51676E72" w:rsidR="00123F0E" w:rsidRDefault="00953CA6" w:rsidP="00123F0E">
      <w:pPr>
        <w:spacing w:line="480" w:lineRule="auto"/>
        <w:jc w:val="center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bidi="en-US"/>
        </w:rPr>
      </w:pPr>
      <w:r>
        <w:rPr>
          <w:rFonts w:ascii="Times New Roman" w:hAnsi="Times New Roman" w:cs="Times New Roman"/>
        </w:rPr>
        <w:t>References</w:t>
      </w:r>
    </w:p>
    <w:sdt>
      <w:sdtPr>
        <w:id w:val="111145805"/>
        <w:bibliography/>
      </w:sdtPr>
      <w:sdtEndPr/>
      <w:sdtContent>
        <w:p w14:paraId="563CA804" w14:textId="77777777" w:rsidR="00123F0E" w:rsidRDefault="00953CA6" w:rsidP="00123F0E">
          <w:pPr>
            <w:pStyle w:val="Bibliography"/>
            <w:spacing w:line="480" w:lineRule="auto"/>
            <w:ind w:left="720" w:hanging="720"/>
            <w:rPr>
              <w:noProof/>
            </w:rPr>
          </w:pPr>
          <w:r>
            <w:fldChar w:fldCharType="begin"/>
          </w:r>
          <w:r>
            <w:instrText xml:space="preserve"> BIBLIOGRAPHY </w:instrText>
          </w:r>
          <w:r>
            <w:fldChar w:fldCharType="separate"/>
          </w:r>
          <w:r>
            <w:rPr>
              <w:noProof/>
            </w:rPr>
            <w:t xml:space="preserve">Crossman, A. (2018). </w:t>
          </w:r>
          <w:r>
            <w:rPr>
              <w:i/>
              <w:iCs/>
              <w:noProof/>
            </w:rPr>
            <w:t xml:space="preserve">The Concept of Gemeinschaft and Gesellschaft </w:t>
          </w:r>
          <w:r>
            <w:rPr>
              <w:noProof/>
            </w:rPr>
            <w:t xml:space="preserve">. Retrieved 02 17, 2019, from </w:t>
          </w:r>
          <w:r>
            <w:rPr>
              <w:noProof/>
            </w:rPr>
            <w:t>https://www.thoughtco.com/gemeinschaft-3026337</w:t>
          </w:r>
        </w:p>
        <w:p w14:paraId="700693F1" w14:textId="77777777" w:rsidR="00123F0E" w:rsidRDefault="00953CA6" w:rsidP="00123F0E">
          <w:pPr>
            <w:pStyle w:val="Bibliography"/>
            <w:spacing w:line="480" w:lineRule="auto"/>
            <w:ind w:left="720" w:hanging="720"/>
            <w:rPr>
              <w:noProof/>
            </w:rPr>
          </w:pPr>
          <w:r>
            <w:rPr>
              <w:noProof/>
            </w:rPr>
            <w:t xml:space="preserve">Griffiths, H., Keirns, N. J., &amp; Scaramuzzo, G. (1997). </w:t>
          </w:r>
          <w:r>
            <w:rPr>
              <w:i/>
              <w:iCs/>
              <w:noProof/>
            </w:rPr>
            <w:t>Introduction to Sociology 2e.</w:t>
          </w:r>
          <w:r>
            <w:rPr>
              <w:noProof/>
            </w:rPr>
            <w:t xml:space="preserve"> 12th Media Services.</w:t>
          </w:r>
        </w:p>
        <w:p w14:paraId="4766735F" w14:textId="77777777" w:rsidR="00123F0E" w:rsidRDefault="00953CA6" w:rsidP="00123F0E">
          <w:pPr>
            <w:pStyle w:val="Bibliography"/>
            <w:spacing w:line="480" w:lineRule="auto"/>
            <w:ind w:left="720" w:hanging="720"/>
            <w:rPr>
              <w:noProof/>
            </w:rPr>
          </w:pPr>
          <w:r>
            <w:rPr>
              <w:noProof/>
            </w:rPr>
            <w:t xml:space="preserve">Thijssen, P. (2012). From mechanical to organic solidarity, and back: With Honneth beyond Durkheim . </w:t>
          </w:r>
          <w:r>
            <w:rPr>
              <w:i/>
              <w:iCs/>
              <w:noProof/>
            </w:rPr>
            <w:t>Eu</w:t>
          </w:r>
          <w:r>
            <w:rPr>
              <w:i/>
              <w:iCs/>
              <w:noProof/>
            </w:rPr>
            <w:t>ropean Journal of Social Theory , 15</w:t>
          </w:r>
          <w:r>
            <w:rPr>
              <w:noProof/>
            </w:rPr>
            <w:t xml:space="preserve"> (4).</w:t>
          </w:r>
        </w:p>
        <w:p w14:paraId="0CB30E04" w14:textId="77777777" w:rsidR="00123F0E" w:rsidRDefault="00953CA6" w:rsidP="00123F0E">
          <w:pPr>
            <w:spacing w:line="480" w:lineRule="auto"/>
            <w:ind w:left="720" w:hanging="720"/>
          </w:pPr>
          <w:r>
            <w:rPr>
              <w:b/>
              <w:bCs/>
              <w:noProof/>
            </w:rPr>
            <w:fldChar w:fldCharType="end"/>
          </w:r>
        </w:p>
      </w:sdtContent>
    </w:sdt>
    <w:p w14:paraId="4C2D621B" w14:textId="77777777" w:rsidR="00123F0E" w:rsidRPr="006F2655" w:rsidRDefault="00123F0E" w:rsidP="00123F0E">
      <w:pPr>
        <w:spacing w:line="480" w:lineRule="auto"/>
        <w:ind w:left="720" w:hanging="720"/>
        <w:jc w:val="both"/>
        <w:rPr>
          <w:rFonts w:ascii="Times New Roman" w:hAnsi="Times New Roman" w:cs="Times New Roman"/>
        </w:rPr>
      </w:pPr>
    </w:p>
    <w:p w14:paraId="0804EE06" w14:textId="77777777" w:rsidR="00123F0E" w:rsidRDefault="00123F0E" w:rsidP="00123F0E">
      <w:pPr>
        <w:spacing w:line="480" w:lineRule="auto"/>
        <w:jc w:val="both"/>
      </w:pPr>
    </w:p>
    <w:p w14:paraId="3A45121D" w14:textId="77777777" w:rsidR="00123F0E" w:rsidRPr="006F2655" w:rsidRDefault="00123F0E" w:rsidP="002B5972">
      <w:pPr>
        <w:spacing w:line="480" w:lineRule="auto"/>
        <w:jc w:val="both"/>
        <w:rPr>
          <w:rFonts w:ascii="Times New Roman" w:hAnsi="Times New Roman" w:cs="Times New Roman"/>
        </w:rPr>
      </w:pPr>
    </w:p>
    <w:sectPr w:rsidR="00123F0E" w:rsidRPr="006F2655" w:rsidSect="004F3E88">
      <w:headerReference w:type="even" r:id="rId8"/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652977" w14:textId="77777777" w:rsidR="00000000" w:rsidRDefault="00953CA6">
      <w:r>
        <w:separator/>
      </w:r>
    </w:p>
  </w:endnote>
  <w:endnote w:type="continuationSeparator" w:id="0">
    <w:p w14:paraId="14C86689" w14:textId="77777777" w:rsidR="00000000" w:rsidRDefault="00953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754657" w14:textId="77777777" w:rsidR="00000000" w:rsidRDefault="00953CA6">
      <w:r>
        <w:separator/>
      </w:r>
    </w:p>
  </w:footnote>
  <w:footnote w:type="continuationSeparator" w:id="0">
    <w:p w14:paraId="094F79F3" w14:textId="77777777" w:rsidR="00000000" w:rsidRDefault="00953CA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3AE467" w14:textId="77777777" w:rsidR="002B5972" w:rsidRDefault="00953CA6" w:rsidP="00AC0FA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8591970" w14:textId="77777777" w:rsidR="002B5972" w:rsidRDefault="002B5972" w:rsidP="002B5972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9D2745" w14:textId="77777777" w:rsidR="002B5972" w:rsidRDefault="00953CA6" w:rsidP="00AC0FA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BF8638B" w14:textId="1EA7DCC4" w:rsidR="002B5972" w:rsidRDefault="00953CA6" w:rsidP="002B5972">
    <w:pPr>
      <w:pStyle w:val="Header"/>
      <w:ind w:right="360"/>
    </w:pPr>
    <w:r>
      <w:t>RUNNING HEAD: ORGANIC SOLIDARITY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213"/>
    <w:rsid w:val="00002C6D"/>
    <w:rsid w:val="000651AD"/>
    <w:rsid w:val="00077213"/>
    <w:rsid w:val="00123F0E"/>
    <w:rsid w:val="002B5972"/>
    <w:rsid w:val="004F3E88"/>
    <w:rsid w:val="005E1303"/>
    <w:rsid w:val="00611F69"/>
    <w:rsid w:val="006853CD"/>
    <w:rsid w:val="006F2655"/>
    <w:rsid w:val="00815964"/>
    <w:rsid w:val="00830DCD"/>
    <w:rsid w:val="008F606F"/>
    <w:rsid w:val="00953CA6"/>
    <w:rsid w:val="009C04EC"/>
    <w:rsid w:val="009E3D44"/>
    <w:rsid w:val="00AC0FA8"/>
    <w:rsid w:val="00B62A15"/>
    <w:rsid w:val="00C04652"/>
    <w:rsid w:val="00CC4C27"/>
    <w:rsid w:val="00D3223A"/>
    <w:rsid w:val="00F0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23F0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597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5972"/>
  </w:style>
  <w:style w:type="character" w:styleId="PageNumber">
    <w:name w:val="page number"/>
    <w:basedOn w:val="DefaultParagraphFont"/>
    <w:uiPriority w:val="99"/>
    <w:semiHidden/>
    <w:unhideWhenUsed/>
    <w:rsid w:val="002B5972"/>
  </w:style>
  <w:style w:type="paragraph" w:styleId="Footer">
    <w:name w:val="footer"/>
    <w:basedOn w:val="Normal"/>
    <w:link w:val="FooterChar"/>
    <w:uiPriority w:val="99"/>
    <w:unhideWhenUsed/>
    <w:rsid w:val="006F265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2655"/>
  </w:style>
  <w:style w:type="paragraph" w:styleId="BalloonText">
    <w:name w:val="Balloon Text"/>
    <w:basedOn w:val="Normal"/>
    <w:link w:val="BalloonTextChar"/>
    <w:uiPriority w:val="99"/>
    <w:semiHidden/>
    <w:unhideWhenUsed/>
    <w:rsid w:val="00CC4C2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C27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23F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Bibliography">
    <w:name w:val="Bibliography"/>
    <w:basedOn w:val="Normal"/>
    <w:next w:val="Normal"/>
    <w:uiPriority w:val="37"/>
    <w:unhideWhenUsed/>
    <w:rsid w:val="00123F0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23F0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597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5972"/>
  </w:style>
  <w:style w:type="character" w:styleId="PageNumber">
    <w:name w:val="page number"/>
    <w:basedOn w:val="DefaultParagraphFont"/>
    <w:uiPriority w:val="99"/>
    <w:semiHidden/>
    <w:unhideWhenUsed/>
    <w:rsid w:val="002B5972"/>
  </w:style>
  <w:style w:type="paragraph" w:styleId="Footer">
    <w:name w:val="footer"/>
    <w:basedOn w:val="Normal"/>
    <w:link w:val="FooterChar"/>
    <w:uiPriority w:val="99"/>
    <w:unhideWhenUsed/>
    <w:rsid w:val="006F265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2655"/>
  </w:style>
  <w:style w:type="paragraph" w:styleId="BalloonText">
    <w:name w:val="Balloon Text"/>
    <w:basedOn w:val="Normal"/>
    <w:link w:val="BalloonTextChar"/>
    <w:uiPriority w:val="99"/>
    <w:semiHidden/>
    <w:unhideWhenUsed/>
    <w:rsid w:val="00CC4C2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C27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23F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Bibliography">
    <w:name w:val="Bibliography"/>
    <w:basedOn w:val="Normal"/>
    <w:next w:val="Normal"/>
    <w:uiPriority w:val="37"/>
    <w:unhideWhenUsed/>
    <w:rsid w:val="00123F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>
  <b:Source>
    <b:Tag>Ash181</b:Tag>
    <b:SourceType>InternetSite</b:SourceType>
    <b:Guid>{2FA3ACA7-B40F-0D49-8106-D8225DC63A04}</b:Guid>
    <b:Author>
      <b:Author>
        <b:NameList>
          <b:Person>
            <b:Last>Crossman</b:Last>
            <b:First>Ashley</b:First>
          </b:Person>
        </b:NameList>
      </b:Author>
    </b:Author>
    <b:Title>The Concept of Gemeinschaft and Gesellschaft </b:Title>
    <b:URL>https://www.thoughtco.com/gemeinschaft-3026337</b:URL>
    <b:Year>2018</b:Year>
    <b:YearAccessed>2019</b:YearAccessed>
    <b:MonthAccessed>02</b:MonthAccessed>
    <b:DayAccessed>17</b:DayAccessed>
    <b:RefOrder>3</b:RefOrder>
  </b:Source>
  <b:Source>
    <b:Tag>Hea97</b:Tag>
    <b:SourceType>Book</b:SourceType>
    <b:Guid>{54826F62-6528-2A4A-BF7F-FDBA719AC240}</b:Guid>
    <b:Title>Introduction to Sociology 2e</b:Title>
    <b:Year>1997</b:Year>
    <b:Author>
      <b:Author>
        <b:NameList>
          <b:Person>
            <b:Last>Griffiths</b:Last>
            <b:First>Heather</b:First>
          </b:Person>
          <b:Person>
            <b:Last>Keirns</b:Last>
            <b:First>Nathan</b:First>
            <b:Middle>J.</b:Middle>
          </b:Person>
          <b:Person>
            <b:Last>Scaramuzzo</b:Last>
            <b:First>Gail</b:First>
          </b:Person>
        </b:NameList>
      </b:Author>
    </b:Author>
    <b:Publisher>12th Media Services</b:Publisher>
    <b:RefOrder>2</b:RefOrder>
  </b:Source>
  <b:Source>
    <b:Tag>Pet121</b:Tag>
    <b:SourceType>JournalArticle</b:SourceType>
    <b:Guid>{6BB4879F-1CB4-9A4D-B941-B0A06ED42FC2}</b:Guid>
    <b:Title>From mechanical to organic solidarity, and back: With Honneth beyond Durkheim </b:Title>
    <b:Year>2012</b:Year>
    <b:Volume>15</b:Volume>
    <b:Author>
      <b:Author>
        <b:NameList>
          <b:Person>
            <b:Last>Thijssen</b:Last>
            <b:First>Peter</b:First>
          </b:Person>
        </b:NameList>
      </b:Author>
    </b:Author>
    <b:JournalName>European Journal of Social Theory </b:JournalName>
    <b:Issue>4</b:Issue>
    <b:RefOrder>1</b:RefOrder>
  </b:Source>
</b:Sources>
</file>

<file path=customXml/itemProps1.xml><?xml version="1.0" encoding="utf-8"?>
<ds:datastoreItem xmlns:ds="http://schemas.openxmlformats.org/officeDocument/2006/customXml" ds:itemID="{CA95F2F0-DE7B-5640-AD67-DE1F08323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382</Words>
  <Characters>2181</Characters>
  <Application>Microsoft Macintosh Word</Application>
  <DocSecurity>0</DocSecurity>
  <Lines>18</Lines>
  <Paragraphs>5</Paragraphs>
  <ScaleCrop>false</ScaleCrop>
  <Company>art</Company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 C</dc:creator>
  <cp:lastModifiedBy>AB C</cp:lastModifiedBy>
  <cp:revision>2</cp:revision>
  <dcterms:created xsi:type="dcterms:W3CDTF">2019-02-17T10:09:00Z</dcterms:created>
  <dcterms:modified xsi:type="dcterms:W3CDTF">2019-02-17T10:09:00Z</dcterms:modified>
</cp:coreProperties>
</file>