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66" w:rsidRDefault="00BD0B66" w:rsidP="00776C0D">
      <w:pPr>
        <w:spacing w:line="480" w:lineRule="auto"/>
        <w:jc w:val="center"/>
        <w:rPr>
          <w:rFonts w:ascii="Times New Roman" w:hAnsi="Times New Roman" w:cs="Times New Roman"/>
        </w:rPr>
      </w:pPr>
    </w:p>
    <w:p w:rsidR="00BD0B66" w:rsidRDefault="00BD0B66" w:rsidP="00776C0D">
      <w:pPr>
        <w:spacing w:line="480" w:lineRule="auto"/>
        <w:jc w:val="center"/>
        <w:rPr>
          <w:rFonts w:ascii="Times New Roman" w:hAnsi="Times New Roman" w:cs="Times New Roman"/>
        </w:rPr>
      </w:pPr>
    </w:p>
    <w:p w:rsidR="00BD0B66" w:rsidRDefault="00BD0B66" w:rsidP="00776C0D">
      <w:pPr>
        <w:spacing w:line="480" w:lineRule="auto"/>
        <w:jc w:val="center"/>
        <w:rPr>
          <w:rFonts w:ascii="Times New Roman" w:hAnsi="Times New Roman" w:cs="Times New Roman"/>
        </w:rPr>
      </w:pPr>
    </w:p>
    <w:p w:rsidR="00BD0B66" w:rsidRDefault="00BD0B66" w:rsidP="00776C0D">
      <w:pPr>
        <w:spacing w:line="480" w:lineRule="auto"/>
        <w:jc w:val="center"/>
        <w:rPr>
          <w:rFonts w:ascii="Times New Roman" w:hAnsi="Times New Roman" w:cs="Times New Roman"/>
        </w:rPr>
      </w:pPr>
    </w:p>
    <w:p w:rsidR="00253114" w:rsidRDefault="00253114" w:rsidP="00776C0D">
      <w:pPr>
        <w:spacing w:line="480" w:lineRule="auto"/>
        <w:jc w:val="center"/>
        <w:rPr>
          <w:rFonts w:ascii="Times New Roman" w:hAnsi="Times New Roman" w:cs="Times New Roman"/>
        </w:rPr>
      </w:pPr>
    </w:p>
    <w:p w:rsidR="00253114" w:rsidRDefault="00253114" w:rsidP="00776C0D">
      <w:pPr>
        <w:spacing w:line="480" w:lineRule="auto"/>
        <w:jc w:val="center"/>
        <w:rPr>
          <w:rFonts w:ascii="Times New Roman" w:hAnsi="Times New Roman" w:cs="Times New Roman"/>
        </w:rPr>
      </w:pPr>
    </w:p>
    <w:p w:rsidR="00253114" w:rsidRDefault="00253114" w:rsidP="00776C0D">
      <w:pPr>
        <w:spacing w:line="480" w:lineRule="auto"/>
        <w:jc w:val="center"/>
        <w:rPr>
          <w:rFonts w:ascii="Times New Roman" w:hAnsi="Times New Roman" w:cs="Times New Roman"/>
        </w:rPr>
      </w:pPr>
    </w:p>
    <w:p w:rsidR="00BD0B66" w:rsidRDefault="00381100" w:rsidP="00776C0D">
      <w:pPr>
        <w:spacing w:line="480" w:lineRule="auto"/>
        <w:jc w:val="center"/>
        <w:rPr>
          <w:rFonts w:ascii="Times New Roman" w:hAnsi="Times New Roman" w:cs="Times New Roman"/>
        </w:rPr>
      </w:pPr>
      <w:r>
        <w:rPr>
          <w:rFonts w:ascii="Times New Roman" w:hAnsi="Times New Roman" w:cs="Times New Roman"/>
        </w:rPr>
        <w:t>Title Page</w:t>
      </w:r>
    </w:p>
    <w:p w:rsidR="00BD0B66" w:rsidRDefault="00381100" w:rsidP="00776C0D">
      <w:pPr>
        <w:spacing w:line="480" w:lineRule="auto"/>
        <w:jc w:val="center"/>
        <w:rPr>
          <w:rFonts w:ascii="Times New Roman" w:hAnsi="Times New Roman" w:cs="Times New Roman"/>
        </w:rPr>
      </w:pPr>
      <w:r w:rsidRPr="00776C0D">
        <w:rPr>
          <w:rFonts w:ascii="Times New Roman" w:hAnsi="Times New Roman" w:cs="Times New Roman"/>
        </w:rPr>
        <w:t>Phase III</w:t>
      </w:r>
    </w:p>
    <w:p w:rsidR="004F3E88" w:rsidRPr="00776C0D" w:rsidRDefault="00381100" w:rsidP="00BD0B66">
      <w:pPr>
        <w:rPr>
          <w:rFonts w:ascii="Times New Roman" w:hAnsi="Times New Roman" w:cs="Times New Roman"/>
        </w:rPr>
      </w:pPr>
      <w:r>
        <w:rPr>
          <w:rFonts w:ascii="Times New Roman" w:hAnsi="Times New Roman" w:cs="Times New Roman"/>
        </w:rPr>
        <w:br w:type="page"/>
      </w:r>
    </w:p>
    <w:p w:rsidR="00776C0D" w:rsidRPr="00BD0B66" w:rsidRDefault="00381100" w:rsidP="005B2986">
      <w:pPr>
        <w:spacing w:line="480" w:lineRule="auto"/>
        <w:jc w:val="both"/>
        <w:rPr>
          <w:rFonts w:ascii="Times New Roman" w:hAnsi="Times New Roman" w:cs="Times New Roman"/>
          <w:b/>
        </w:rPr>
      </w:pPr>
      <w:r w:rsidRPr="00BD0B66">
        <w:rPr>
          <w:rFonts w:ascii="Times New Roman" w:hAnsi="Times New Roman" w:cs="Times New Roman"/>
          <w:b/>
        </w:rPr>
        <w:lastRenderedPageBreak/>
        <w:t>Executive summary</w:t>
      </w:r>
    </w:p>
    <w:p w:rsidR="005B2986" w:rsidRDefault="00381100" w:rsidP="005B2986">
      <w:pPr>
        <w:spacing w:line="480" w:lineRule="auto"/>
        <w:jc w:val="both"/>
        <w:rPr>
          <w:rFonts w:ascii="Times New Roman" w:hAnsi="Times New Roman" w:cs="Times New Roman"/>
        </w:rPr>
      </w:pPr>
      <w:r w:rsidRPr="00776C0D">
        <w:rPr>
          <w:rFonts w:ascii="Times New Roman" w:hAnsi="Times New Roman" w:cs="Times New Roman"/>
        </w:rPr>
        <w:t xml:space="preserve">The stocks of JB Hunt are traded at NASDAQ and quiet period policy is used for maintaining compliance with the regulation of FD. The earnings are recorded in quarter-end financial reports. The sales revenue for the year 2018 is accounted as </w:t>
      </w:r>
      <w:r w:rsidR="0000049F">
        <w:rPr>
          <w:rFonts w:ascii="Times New Roman" w:hAnsi="Times New Roman" w:cs="Times New Roman"/>
        </w:rPr>
        <w:t>$</w:t>
      </w:r>
      <w:r w:rsidRPr="00776C0D">
        <w:rPr>
          <w:rFonts w:ascii="Times New Roman" w:hAnsi="Times New Roman" w:cs="Times New Roman"/>
        </w:rPr>
        <w:t xml:space="preserve">8.61 billion </w:t>
      </w:r>
      <w:r w:rsidR="0000049F">
        <w:rPr>
          <w:rFonts w:ascii="Times New Roman" w:hAnsi="Times New Roman" w:cs="Times New Roman"/>
        </w:rPr>
        <w:t xml:space="preserve">compared to previous year's $7.19 billion. The financial performance of the company is satisfactory because a consistent increase in revenue and profits is observed. </w:t>
      </w:r>
      <w:r w:rsidR="00B854F8">
        <w:rPr>
          <w:rFonts w:ascii="Times New Roman" w:hAnsi="Times New Roman" w:cs="Times New Roman"/>
        </w:rPr>
        <w:t xml:space="preserve">The company enjoys a strong position in making investments in new projects. It is also investing in technology for enhancing the quality of product and services. In short-perspective JB Hunt has interesting fundamentals. The transport service accounts for 4.57 percent of market share in the USA. The purchase price of trade recorded on </w:t>
      </w:r>
      <w:proofErr w:type="gramStart"/>
      <w:r w:rsidR="00B854F8">
        <w:rPr>
          <w:rFonts w:ascii="Times New Roman" w:hAnsi="Times New Roman" w:cs="Times New Roman"/>
        </w:rPr>
        <w:t>February,</w:t>
      </w:r>
      <w:proofErr w:type="gramEnd"/>
      <w:r w:rsidR="00B854F8">
        <w:rPr>
          <w:rFonts w:ascii="Times New Roman" w:hAnsi="Times New Roman" w:cs="Times New Roman"/>
        </w:rPr>
        <w:t xml:space="preserve"> 28 was </w:t>
      </w:r>
      <w:r w:rsidR="00C14647">
        <w:rPr>
          <w:rFonts w:ascii="Times New Roman" w:hAnsi="Times New Roman" w:cs="Times New Roman"/>
        </w:rPr>
        <w:t xml:space="preserve">$125.66 </w:t>
      </w:r>
      <w:sdt>
        <w:sdtPr>
          <w:rPr>
            <w:rFonts w:ascii="Times New Roman" w:hAnsi="Times New Roman" w:cs="Times New Roman"/>
          </w:rPr>
          <w:id w:val="-267391015"/>
          <w:citation/>
        </w:sdtPr>
        <w:sdtEndPr/>
        <w:sdtContent>
          <w:r w:rsidR="00C14647">
            <w:rPr>
              <w:rFonts w:ascii="Times New Roman" w:hAnsi="Times New Roman" w:cs="Times New Roman"/>
            </w:rPr>
            <w:fldChar w:fldCharType="begin"/>
          </w:r>
          <w:r w:rsidR="00C14647">
            <w:rPr>
              <w:rFonts w:ascii="Times New Roman" w:hAnsi="Times New Roman" w:cs="Times New Roman"/>
            </w:rPr>
            <w:instrText xml:space="preserve"> CITATION Mar19 \l 1033 </w:instrText>
          </w:r>
          <w:r w:rsidR="00C14647">
            <w:rPr>
              <w:rFonts w:ascii="Times New Roman" w:hAnsi="Times New Roman" w:cs="Times New Roman"/>
            </w:rPr>
            <w:fldChar w:fldCharType="separate"/>
          </w:r>
          <w:r w:rsidR="00C14647" w:rsidRPr="00C14647">
            <w:rPr>
              <w:rFonts w:ascii="Times New Roman" w:hAnsi="Times New Roman" w:cs="Times New Roman"/>
              <w:noProof/>
            </w:rPr>
            <w:t>(Markets, 2019)</w:t>
          </w:r>
          <w:r w:rsidR="00C14647">
            <w:rPr>
              <w:rFonts w:ascii="Times New Roman" w:hAnsi="Times New Roman" w:cs="Times New Roman"/>
            </w:rPr>
            <w:fldChar w:fldCharType="end"/>
          </w:r>
        </w:sdtContent>
      </w:sdt>
      <w:r w:rsidR="00C14647">
        <w:rPr>
          <w:rFonts w:ascii="Times New Roman" w:hAnsi="Times New Roman" w:cs="Times New Roman"/>
        </w:rPr>
        <w:t>.</w:t>
      </w:r>
    </w:p>
    <w:p w:rsidR="000179B2" w:rsidRDefault="00381100" w:rsidP="00C34557">
      <w:pPr>
        <w:spacing w:line="480" w:lineRule="auto"/>
        <w:jc w:val="both"/>
        <w:rPr>
          <w:rFonts w:ascii="Times New Roman" w:hAnsi="Times New Roman" w:cs="Times New Roman"/>
        </w:rPr>
      </w:pPr>
      <w:r>
        <w:rPr>
          <w:rFonts w:ascii="Times New Roman" w:hAnsi="Times New Roman" w:cs="Times New Roman"/>
        </w:rPr>
        <w:t>High visibility into group activities is the apparent strength of JB Hunt. The analysts determined that the future revenues covering the equity have remained the same. The dispersed estimates rev</w:t>
      </w:r>
      <w:r>
        <w:rPr>
          <w:rFonts w:ascii="Times New Roman" w:hAnsi="Times New Roman" w:cs="Times New Roman"/>
        </w:rPr>
        <w:t xml:space="preserve">eal highly predictable sales of the company in the future. The sales recorded in the last year are above the company's expectations. The company's earnings depict that it holds the capacity of expanding the business to other states and countries. </w:t>
      </w:r>
      <w:r w:rsidR="0067049E">
        <w:rPr>
          <w:rFonts w:ascii="Times New Roman" w:hAnsi="Times New Roman" w:cs="Times New Roman"/>
        </w:rPr>
        <w:t xml:space="preserve">Strong cash flow is adequate for providing resources for the expansion of new projects. </w:t>
      </w:r>
      <w:r w:rsidR="00C80B21">
        <w:rPr>
          <w:rFonts w:ascii="Times New Roman" w:hAnsi="Times New Roman" w:cs="Times New Roman"/>
        </w:rPr>
        <w:t xml:space="preserve">The future </w:t>
      </w:r>
      <w:r w:rsidR="006C0A14">
        <w:rPr>
          <w:rFonts w:ascii="Times New Roman" w:hAnsi="Times New Roman" w:cs="Times New Roman"/>
        </w:rPr>
        <w:t>recommendations suggest</w:t>
      </w:r>
      <w:r w:rsidR="00C80B21">
        <w:rPr>
          <w:rFonts w:ascii="Times New Roman" w:hAnsi="Times New Roman" w:cs="Times New Roman"/>
        </w:rPr>
        <w:t xml:space="preserve"> increasing market share and positioning in the US portfolio. </w:t>
      </w:r>
      <w:r w:rsidR="00D7272A">
        <w:rPr>
          <w:rFonts w:ascii="Times New Roman" w:hAnsi="Times New Roman" w:cs="Times New Roman"/>
        </w:rPr>
        <w:t xml:space="preserve">The assessment of the mergers and acquisition also indicates the success of the company. The effective distribution and supply chain networks have also boosted financial gains. </w:t>
      </w:r>
      <w:r w:rsidR="006C0A14">
        <w:rPr>
          <w:rFonts w:ascii="Times New Roman" w:hAnsi="Times New Roman" w:cs="Times New Roman"/>
        </w:rPr>
        <w:t>The profitability ratios and net contribution of the company are satisfactory.</w:t>
      </w:r>
    </w:p>
    <w:p w:rsidR="00BD0B66" w:rsidRDefault="00BD0B66" w:rsidP="00C34557">
      <w:pPr>
        <w:spacing w:line="480" w:lineRule="auto"/>
        <w:jc w:val="both"/>
        <w:rPr>
          <w:rFonts w:ascii="Times New Roman" w:hAnsi="Times New Roman" w:cs="Times New Roman"/>
        </w:rPr>
      </w:pPr>
    </w:p>
    <w:p w:rsidR="009F68F2" w:rsidRPr="00BD0B66" w:rsidRDefault="00381100" w:rsidP="00C34557">
      <w:pPr>
        <w:spacing w:line="480" w:lineRule="auto"/>
        <w:jc w:val="both"/>
        <w:rPr>
          <w:rFonts w:ascii="Times New Roman" w:hAnsi="Times New Roman" w:cs="Times New Roman"/>
          <w:b/>
        </w:rPr>
      </w:pPr>
      <w:r w:rsidRPr="00BD0B66">
        <w:rPr>
          <w:rFonts w:ascii="Times New Roman" w:hAnsi="Times New Roman" w:cs="Times New Roman"/>
          <w:b/>
        </w:rPr>
        <w:lastRenderedPageBreak/>
        <w:t>Financial projection</w:t>
      </w:r>
    </w:p>
    <w:p w:rsidR="009202CB" w:rsidRDefault="00381100" w:rsidP="009202CB">
      <w:pPr>
        <w:pStyle w:val="ListParagraph"/>
        <w:numPr>
          <w:ilvl w:val="0"/>
          <w:numId w:val="1"/>
        </w:numPr>
        <w:spacing w:line="480" w:lineRule="auto"/>
        <w:jc w:val="both"/>
        <w:rPr>
          <w:rFonts w:ascii="Times New Roman" w:hAnsi="Times New Roman" w:cs="Times New Roman"/>
        </w:rPr>
      </w:pPr>
      <w:r w:rsidRPr="009202CB">
        <w:rPr>
          <w:rFonts w:ascii="Times New Roman" w:hAnsi="Times New Roman" w:cs="Times New Roman"/>
        </w:rPr>
        <w:t>Product positioning map</w:t>
      </w:r>
    </w:p>
    <w:p w:rsidR="0054414B" w:rsidRPr="0054414B" w:rsidRDefault="00381100" w:rsidP="0054414B">
      <w:pPr>
        <w:spacing w:line="480" w:lineRule="auto"/>
        <w:ind w:left="360"/>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2540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92F80" w:rsidRDefault="00381100" w:rsidP="00192F80">
      <w:pPr>
        <w:pStyle w:val="ListParagraph"/>
        <w:numPr>
          <w:ilvl w:val="0"/>
          <w:numId w:val="1"/>
        </w:numPr>
        <w:spacing w:line="480" w:lineRule="auto"/>
        <w:jc w:val="both"/>
        <w:rPr>
          <w:rFonts w:ascii="Times New Roman" w:hAnsi="Times New Roman" w:cs="Times New Roman"/>
        </w:rPr>
      </w:pPr>
      <w:r w:rsidRPr="00192F80">
        <w:rPr>
          <w:rFonts w:ascii="Times New Roman" w:hAnsi="Times New Roman" w:cs="Times New Roman"/>
        </w:rPr>
        <w:t xml:space="preserve">Evaluation of strategies </w:t>
      </w:r>
    </w:p>
    <w:p w:rsidR="003B0E59" w:rsidRDefault="00381100" w:rsidP="003B0E59">
      <w:pPr>
        <w:spacing w:line="480" w:lineRule="auto"/>
        <w:jc w:val="both"/>
        <w:rPr>
          <w:rFonts w:ascii="Times New Roman" w:hAnsi="Times New Roman" w:cs="Times New Roman"/>
        </w:rPr>
      </w:pPr>
      <w:r>
        <w:rPr>
          <w:rFonts w:ascii="Times New Roman" w:hAnsi="Times New Roman" w:cs="Times New Roman"/>
        </w:rPr>
        <w:t xml:space="preserve">The strategy JB Hunt stresses on four main operating segments, dedicated contracted, intermodal and integrated capacity solutions. Company’s </w:t>
      </w:r>
      <w:proofErr w:type="gramStart"/>
      <w:r>
        <w:rPr>
          <w:rFonts w:ascii="Times New Roman" w:hAnsi="Times New Roman" w:cs="Times New Roman"/>
        </w:rPr>
        <w:t>strategy</w:t>
      </w:r>
      <w:proofErr w:type="gramEnd"/>
      <w:r>
        <w:rPr>
          <w:rFonts w:ascii="Times New Roman" w:hAnsi="Times New Roman" w:cs="Times New Roman"/>
        </w:rPr>
        <w:t xml:space="preserve"> of investing in </w:t>
      </w:r>
      <w:r w:rsidRPr="003579CD">
        <w:rPr>
          <w:rFonts w:ascii="Times New Roman" w:hAnsi="Times New Roman" w:cs="Times New Roman"/>
        </w:rPr>
        <w:t xml:space="preserve">projects that </w:t>
      </w:r>
      <w:r w:rsidRPr="003579CD">
        <w:rPr>
          <w:rFonts w:ascii="Times New Roman" w:hAnsi="Times New Roman" w:cs="Times New Roman"/>
        </w:rPr>
        <w:t xml:space="preserve">use enhanced technology include </w:t>
      </w:r>
      <w:proofErr w:type="spellStart"/>
      <w:r w:rsidRPr="003579CD">
        <w:rPr>
          <w:rFonts w:ascii="Times New Roman" w:hAnsi="Times New Roman" w:cs="Times New Roman"/>
        </w:rPr>
        <w:t>CarrierWatch</w:t>
      </w:r>
      <w:proofErr w:type="spellEnd"/>
      <w:r w:rsidRPr="003579CD">
        <w:rPr>
          <w:rFonts w:ascii="Times New Roman" w:hAnsi="Times New Roman" w:cs="Times New Roman"/>
        </w:rPr>
        <w:t xml:space="preserve"> for tracking, </w:t>
      </w:r>
      <w:proofErr w:type="spellStart"/>
      <w:r w:rsidRPr="003579CD">
        <w:rPr>
          <w:rFonts w:ascii="Times New Roman" w:hAnsi="Times New Roman" w:cs="Times New Roman"/>
        </w:rPr>
        <w:t>Landstar</w:t>
      </w:r>
      <w:proofErr w:type="spellEnd"/>
      <w:r w:rsidRPr="003579CD">
        <w:rPr>
          <w:rFonts w:ascii="Times New Roman" w:hAnsi="Times New Roman" w:cs="Times New Roman"/>
        </w:rPr>
        <w:t xml:space="preserve"> system, and Swift Transportation</w:t>
      </w:r>
      <w:r>
        <w:rPr>
          <w:rFonts w:ascii="Times New Roman" w:hAnsi="Times New Roman" w:cs="Times New Roman"/>
        </w:rPr>
        <w:t xml:space="preserve"> is attainable. The generation of over $1 billion is favorable for the new projects.</w:t>
      </w:r>
      <w:r w:rsidR="00B16D88">
        <w:rPr>
          <w:rFonts w:ascii="Times New Roman" w:hAnsi="Times New Roman" w:cs="Times New Roman"/>
        </w:rPr>
        <w:t xml:space="preserve"> </w:t>
      </w:r>
      <w:r>
        <w:rPr>
          <w:rFonts w:ascii="Times New Roman" w:hAnsi="Times New Roman" w:cs="Times New Roman"/>
        </w:rPr>
        <w:t xml:space="preserve">Improvements are also realized in the trucking </w:t>
      </w:r>
      <w:r w:rsidR="00930DD2">
        <w:rPr>
          <w:rFonts w:ascii="Times New Roman" w:hAnsi="Times New Roman" w:cs="Times New Roman"/>
        </w:rPr>
        <w:t>segments that predict</w:t>
      </w:r>
      <w:r>
        <w:rPr>
          <w:rFonts w:ascii="Times New Roman" w:hAnsi="Times New Roman" w:cs="Times New Roman"/>
        </w:rPr>
        <w:t xml:space="preserve"> ch</w:t>
      </w:r>
      <w:r>
        <w:rPr>
          <w:rFonts w:ascii="Times New Roman" w:hAnsi="Times New Roman" w:cs="Times New Roman"/>
        </w:rPr>
        <w:t xml:space="preserve">ances of future growth and profitability. </w:t>
      </w:r>
      <w:r w:rsidR="00286A9E">
        <w:rPr>
          <w:rFonts w:ascii="Times New Roman" w:hAnsi="Times New Roman" w:cs="Times New Roman"/>
        </w:rPr>
        <w:t xml:space="preserve">Improving operations is directly linked to reduced costs and increased scope of generating revenues </w:t>
      </w:r>
      <w:sdt>
        <w:sdtPr>
          <w:rPr>
            <w:rFonts w:ascii="Times New Roman" w:hAnsi="Times New Roman" w:cs="Times New Roman"/>
          </w:rPr>
          <w:id w:val="1196880776"/>
          <w:citation/>
        </w:sdtPr>
        <w:sdtEndPr/>
        <w:sdtContent>
          <w:r w:rsidR="00286A9E" w:rsidRPr="003579CD">
            <w:rPr>
              <w:rFonts w:ascii="Times New Roman" w:hAnsi="Times New Roman" w:cs="Times New Roman"/>
            </w:rPr>
            <w:fldChar w:fldCharType="begin"/>
          </w:r>
          <w:r w:rsidR="00286A9E" w:rsidRPr="003579CD">
            <w:rPr>
              <w:rFonts w:ascii="Times New Roman" w:hAnsi="Times New Roman" w:cs="Times New Roman"/>
            </w:rPr>
            <w:instrText xml:space="preserve"> CITATION GDO00 \l 1033 </w:instrText>
          </w:r>
          <w:r w:rsidR="00286A9E" w:rsidRPr="003579CD">
            <w:rPr>
              <w:rFonts w:ascii="Times New Roman" w:hAnsi="Times New Roman" w:cs="Times New Roman"/>
            </w:rPr>
            <w:fldChar w:fldCharType="separate"/>
          </w:r>
          <w:r w:rsidR="00286A9E" w:rsidRPr="00286A9E">
            <w:rPr>
              <w:rFonts w:ascii="Times New Roman" w:hAnsi="Times New Roman" w:cs="Times New Roman"/>
              <w:noProof/>
            </w:rPr>
            <w:t>(TAYLOR &amp; MEINERT, 2000)</w:t>
          </w:r>
          <w:r w:rsidR="00286A9E" w:rsidRPr="003579CD">
            <w:rPr>
              <w:rFonts w:ascii="Times New Roman" w:hAnsi="Times New Roman" w:cs="Times New Roman"/>
            </w:rPr>
            <w:fldChar w:fldCharType="end"/>
          </w:r>
        </w:sdtContent>
      </w:sdt>
      <w:r w:rsidR="00F9785E">
        <w:rPr>
          <w:rFonts w:ascii="Times New Roman" w:hAnsi="Times New Roman" w:cs="Times New Roman"/>
        </w:rPr>
        <w:t>. The new design focuses on improving the quality of the product by adopting innovative methods of production.</w:t>
      </w:r>
    </w:p>
    <w:p w:rsidR="000E7F6B" w:rsidRDefault="000E7F6B" w:rsidP="003B0E59">
      <w:pPr>
        <w:spacing w:line="480" w:lineRule="auto"/>
        <w:jc w:val="both"/>
        <w:rPr>
          <w:rFonts w:ascii="Times New Roman" w:hAnsi="Times New Roman" w:cs="Times New Roman"/>
        </w:rPr>
      </w:pPr>
    </w:p>
    <w:p w:rsidR="000E7F6B" w:rsidRPr="003B0E59" w:rsidRDefault="000E7F6B" w:rsidP="003B0E59">
      <w:pPr>
        <w:spacing w:line="480" w:lineRule="auto"/>
        <w:jc w:val="both"/>
        <w:rPr>
          <w:rFonts w:ascii="Times New Roman" w:hAnsi="Times New Roman" w:cs="Times New Roman"/>
        </w:rPr>
      </w:pPr>
    </w:p>
    <w:p w:rsidR="00192F80" w:rsidRDefault="00381100" w:rsidP="00192F8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lastRenderedPageBreak/>
        <w:t xml:space="preserve">Implementation </w:t>
      </w:r>
    </w:p>
    <w:p w:rsidR="000E7F6B" w:rsidRPr="000E7F6B" w:rsidRDefault="00381100" w:rsidP="000E7F6B">
      <w:pPr>
        <w:spacing w:line="480" w:lineRule="auto"/>
        <w:jc w:val="both"/>
        <w:rPr>
          <w:rFonts w:ascii="Times New Roman" w:hAnsi="Times New Roman" w:cs="Times New Roman"/>
        </w:rPr>
      </w:pPr>
      <w:r>
        <w:rPr>
          <w:rFonts w:ascii="Times New Roman" w:hAnsi="Times New Roman" w:cs="Times New Roman"/>
        </w:rPr>
        <w:t>The implementation of JB Hunt's strategy depends on the financial position of the company. As the company has sales reached to 8.61 billion in 2018 indicating an increase from the prev</w:t>
      </w:r>
      <w:r>
        <w:rPr>
          <w:rFonts w:ascii="Times New Roman" w:hAnsi="Times New Roman" w:cs="Times New Roman"/>
        </w:rPr>
        <w:t>ious year, the company can finance new projects.</w:t>
      </w:r>
    </w:p>
    <w:p w:rsidR="00192F80" w:rsidRDefault="00381100" w:rsidP="00192F8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Specific results </w:t>
      </w:r>
    </w:p>
    <w:p w:rsidR="00192F80" w:rsidRPr="00192F80" w:rsidRDefault="00381100" w:rsidP="00192F80">
      <w:pPr>
        <w:spacing w:line="480" w:lineRule="auto"/>
        <w:jc w:val="both"/>
        <w:rPr>
          <w:rFonts w:ascii="Times New Roman" w:hAnsi="Times New Roman" w:cs="Times New Roman"/>
        </w:rPr>
      </w:pPr>
      <w:r w:rsidRPr="00192F80">
        <w:rPr>
          <w:rFonts w:ascii="Times New Roman" w:hAnsi="Times New Roman" w:cs="Times New Roman"/>
        </w:rPr>
        <w:t xml:space="preserve">A strong financial position of the company leads to increased market share through segmentation and return on equity. </w:t>
      </w:r>
    </w:p>
    <w:tbl>
      <w:tblPr>
        <w:tblStyle w:val="TableGrid"/>
        <w:tblW w:w="0" w:type="auto"/>
        <w:tblLook w:val="04A0" w:firstRow="1" w:lastRow="0" w:firstColumn="1" w:lastColumn="0" w:noHBand="0" w:noVBand="1"/>
      </w:tblPr>
      <w:tblGrid>
        <w:gridCol w:w="2214"/>
        <w:gridCol w:w="2214"/>
        <w:gridCol w:w="2214"/>
        <w:gridCol w:w="2214"/>
      </w:tblGrid>
      <w:tr w:rsidR="00D82216" w:rsidTr="005F1568">
        <w:tc>
          <w:tcPr>
            <w:tcW w:w="2214" w:type="dxa"/>
          </w:tcPr>
          <w:p w:rsidR="00192F80" w:rsidRPr="001843BF" w:rsidRDefault="00381100" w:rsidP="005F1568">
            <w:pPr>
              <w:spacing w:line="480" w:lineRule="auto"/>
              <w:jc w:val="both"/>
              <w:rPr>
                <w:rFonts w:ascii="Times New Roman" w:hAnsi="Times New Roman" w:cs="Times New Roman"/>
                <w:b/>
              </w:rPr>
            </w:pPr>
            <w:r w:rsidRPr="001843BF">
              <w:rPr>
                <w:rFonts w:ascii="Times New Roman" w:hAnsi="Times New Roman" w:cs="Times New Roman"/>
                <w:b/>
              </w:rPr>
              <w:t xml:space="preserve">Financial indicators </w:t>
            </w:r>
          </w:p>
        </w:tc>
        <w:tc>
          <w:tcPr>
            <w:tcW w:w="2214" w:type="dxa"/>
          </w:tcPr>
          <w:p w:rsidR="00192F80" w:rsidRPr="001843BF" w:rsidRDefault="00381100" w:rsidP="005F1568">
            <w:pPr>
              <w:spacing w:line="480" w:lineRule="auto"/>
              <w:jc w:val="both"/>
              <w:rPr>
                <w:rFonts w:ascii="Times New Roman" w:hAnsi="Times New Roman" w:cs="Times New Roman"/>
                <w:b/>
              </w:rPr>
            </w:pPr>
            <w:r w:rsidRPr="001843BF">
              <w:rPr>
                <w:rFonts w:ascii="Times New Roman" w:hAnsi="Times New Roman" w:cs="Times New Roman"/>
                <w:b/>
              </w:rPr>
              <w:t>2016</w:t>
            </w:r>
          </w:p>
        </w:tc>
        <w:tc>
          <w:tcPr>
            <w:tcW w:w="2214" w:type="dxa"/>
          </w:tcPr>
          <w:p w:rsidR="00192F80" w:rsidRPr="001843BF" w:rsidRDefault="00381100" w:rsidP="005F1568">
            <w:pPr>
              <w:spacing w:line="480" w:lineRule="auto"/>
              <w:jc w:val="both"/>
              <w:rPr>
                <w:rFonts w:ascii="Times New Roman" w:hAnsi="Times New Roman" w:cs="Times New Roman"/>
                <w:b/>
              </w:rPr>
            </w:pPr>
            <w:r w:rsidRPr="001843BF">
              <w:rPr>
                <w:rFonts w:ascii="Times New Roman" w:hAnsi="Times New Roman" w:cs="Times New Roman"/>
                <w:b/>
              </w:rPr>
              <w:t>2017</w:t>
            </w:r>
          </w:p>
        </w:tc>
        <w:tc>
          <w:tcPr>
            <w:tcW w:w="2214" w:type="dxa"/>
          </w:tcPr>
          <w:p w:rsidR="00192F80" w:rsidRPr="001843BF" w:rsidRDefault="00381100" w:rsidP="005F1568">
            <w:pPr>
              <w:spacing w:line="480" w:lineRule="auto"/>
              <w:jc w:val="both"/>
              <w:rPr>
                <w:rFonts w:ascii="Times New Roman" w:hAnsi="Times New Roman" w:cs="Times New Roman"/>
                <w:b/>
              </w:rPr>
            </w:pPr>
            <w:r w:rsidRPr="001843BF">
              <w:rPr>
                <w:rFonts w:ascii="Times New Roman" w:hAnsi="Times New Roman" w:cs="Times New Roman"/>
                <w:b/>
              </w:rPr>
              <w:t>2018</w:t>
            </w:r>
          </w:p>
        </w:tc>
      </w:tr>
      <w:tr w:rsidR="00D82216" w:rsidTr="005F1568">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 xml:space="preserve">Sales/ revenue </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$6.56 billion</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.19 billion</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$8.61 billion</w:t>
            </w:r>
          </w:p>
        </w:tc>
      </w:tr>
      <w:tr w:rsidR="00D82216" w:rsidTr="005F1568">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 xml:space="preserve">Gross income </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874 million</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818.48 million</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 xml:space="preserve">926.28 million </w:t>
            </w:r>
          </w:p>
        </w:tc>
      </w:tr>
      <w:tr w:rsidR="00D82216" w:rsidTr="005F1568">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 xml:space="preserve">Net income </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432.09 million</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686.26 million</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489.59 million</w:t>
            </w:r>
          </w:p>
        </w:tc>
      </w:tr>
      <w:tr w:rsidR="00D82216" w:rsidTr="005F1568">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EBIDTA</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1.09 billion</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 xml:space="preserve">1.02 billion </w:t>
            </w:r>
          </w:p>
        </w:tc>
        <w:tc>
          <w:tcPr>
            <w:tcW w:w="2214" w:type="dxa"/>
          </w:tcPr>
          <w:p w:rsidR="00192F80" w:rsidRDefault="00381100" w:rsidP="005F1568">
            <w:pPr>
              <w:spacing w:line="480" w:lineRule="auto"/>
              <w:jc w:val="both"/>
              <w:rPr>
                <w:rFonts w:ascii="Times New Roman" w:hAnsi="Times New Roman" w:cs="Times New Roman"/>
              </w:rPr>
            </w:pPr>
            <w:r>
              <w:rPr>
                <w:rFonts w:ascii="Times New Roman" w:hAnsi="Times New Roman" w:cs="Times New Roman"/>
              </w:rPr>
              <w:t>1.12 billion</w:t>
            </w:r>
          </w:p>
        </w:tc>
      </w:tr>
    </w:tbl>
    <w:p w:rsidR="00192F80" w:rsidRPr="00192F80" w:rsidRDefault="00192F80" w:rsidP="00192F80">
      <w:pPr>
        <w:spacing w:line="480" w:lineRule="auto"/>
        <w:jc w:val="both"/>
        <w:rPr>
          <w:rFonts w:ascii="Times New Roman" w:hAnsi="Times New Roman" w:cs="Times New Roman"/>
        </w:rPr>
      </w:pPr>
    </w:p>
    <w:p w:rsidR="00192F80" w:rsidRPr="00BD0B66" w:rsidRDefault="00381100" w:rsidP="00192F80">
      <w:pPr>
        <w:spacing w:line="480" w:lineRule="auto"/>
        <w:jc w:val="both"/>
        <w:rPr>
          <w:rFonts w:ascii="Times New Roman" w:hAnsi="Times New Roman" w:cs="Times New Roman"/>
          <w:b/>
        </w:rPr>
      </w:pPr>
      <w:r w:rsidRPr="00BD0B66">
        <w:rPr>
          <w:rFonts w:ascii="Times New Roman" w:hAnsi="Times New Roman" w:cs="Times New Roman"/>
          <w:b/>
        </w:rPr>
        <w:t xml:space="preserve">Visual of ending road map </w:t>
      </w:r>
    </w:p>
    <w:p w:rsidR="00C824C6" w:rsidRDefault="00381100" w:rsidP="00C824C6">
      <w:pPr>
        <w:spacing w:line="480" w:lineRule="auto"/>
        <w:jc w:val="both"/>
        <w:rPr>
          <w:rFonts w:ascii="Times New Roman" w:hAnsi="Times New Roman" w:cs="Times New Roman"/>
        </w:rPr>
      </w:pPr>
      <w:r>
        <w:rPr>
          <w:rFonts w:ascii="Times New Roman" w:hAnsi="Times New Roman" w:cs="Times New Roman"/>
        </w:rPr>
        <w:t xml:space="preserve">The financial ratios used for evaluating the performance of the company include current ratio, quick ratio, debt-to-equity and return on equity. </w:t>
      </w:r>
    </w:p>
    <w:tbl>
      <w:tblPr>
        <w:tblStyle w:val="TableGrid"/>
        <w:tblW w:w="0" w:type="auto"/>
        <w:tblLook w:val="04A0" w:firstRow="1" w:lastRow="0" w:firstColumn="1" w:lastColumn="0" w:noHBand="0" w:noVBand="1"/>
      </w:tblPr>
      <w:tblGrid>
        <w:gridCol w:w="2538"/>
        <w:gridCol w:w="3308"/>
        <w:gridCol w:w="3010"/>
      </w:tblGrid>
      <w:tr w:rsidR="00D82216" w:rsidTr="004917FF">
        <w:tc>
          <w:tcPr>
            <w:tcW w:w="2538" w:type="dxa"/>
          </w:tcPr>
          <w:p w:rsidR="00C824C6" w:rsidRPr="004D3339" w:rsidRDefault="00381100" w:rsidP="00C824C6">
            <w:pPr>
              <w:spacing w:line="480" w:lineRule="auto"/>
              <w:jc w:val="both"/>
              <w:rPr>
                <w:rFonts w:ascii="Times New Roman" w:hAnsi="Times New Roman" w:cs="Times New Roman"/>
              </w:rPr>
            </w:pPr>
            <w:r w:rsidRPr="004D3339">
              <w:rPr>
                <w:rFonts w:ascii="Times New Roman" w:hAnsi="Times New Roman" w:cs="Times New Roman"/>
              </w:rPr>
              <w:t>Financial ratios</w:t>
            </w:r>
          </w:p>
        </w:tc>
        <w:tc>
          <w:tcPr>
            <w:tcW w:w="3308" w:type="dxa"/>
          </w:tcPr>
          <w:p w:rsidR="00C824C6" w:rsidRPr="004D3339" w:rsidRDefault="00381100" w:rsidP="001D7288">
            <w:pPr>
              <w:spacing w:line="480" w:lineRule="auto"/>
              <w:rPr>
                <w:rFonts w:ascii="Times New Roman" w:hAnsi="Times New Roman" w:cs="Times New Roman"/>
              </w:rPr>
            </w:pPr>
            <w:r w:rsidRPr="004D3339">
              <w:rPr>
                <w:rFonts w:ascii="Times New Roman" w:hAnsi="Times New Roman" w:cs="Times New Roman"/>
              </w:rPr>
              <w:t xml:space="preserve">Formula </w:t>
            </w:r>
          </w:p>
        </w:tc>
        <w:tc>
          <w:tcPr>
            <w:tcW w:w="3010" w:type="dxa"/>
          </w:tcPr>
          <w:p w:rsidR="00C824C6" w:rsidRPr="004D3339" w:rsidRDefault="00381100" w:rsidP="00C824C6">
            <w:pPr>
              <w:spacing w:line="480" w:lineRule="auto"/>
              <w:jc w:val="both"/>
              <w:rPr>
                <w:rFonts w:ascii="Times New Roman" w:hAnsi="Times New Roman" w:cs="Times New Roman"/>
              </w:rPr>
            </w:pPr>
            <w:r w:rsidRPr="004D3339">
              <w:rPr>
                <w:rFonts w:ascii="Times New Roman" w:hAnsi="Times New Roman" w:cs="Times New Roman"/>
              </w:rPr>
              <w:t xml:space="preserve">Values </w:t>
            </w:r>
          </w:p>
        </w:tc>
      </w:tr>
      <w:tr w:rsidR="00D82216" w:rsidTr="004917FF">
        <w:trPr>
          <w:trHeight w:val="629"/>
        </w:trPr>
        <w:tc>
          <w:tcPr>
            <w:tcW w:w="2538" w:type="dxa"/>
          </w:tcPr>
          <w:p w:rsidR="00C824C6" w:rsidRPr="004D3339" w:rsidRDefault="00381100" w:rsidP="00C824C6">
            <w:pPr>
              <w:spacing w:line="480" w:lineRule="auto"/>
              <w:jc w:val="both"/>
              <w:rPr>
                <w:rFonts w:ascii="Times New Roman" w:hAnsi="Times New Roman" w:cs="Times New Roman"/>
              </w:rPr>
            </w:pPr>
            <w:r w:rsidRPr="004D3339">
              <w:rPr>
                <w:rFonts w:ascii="Times New Roman" w:hAnsi="Times New Roman" w:cs="Times New Roman"/>
              </w:rPr>
              <w:t>Current ratio</w:t>
            </w:r>
          </w:p>
        </w:tc>
        <w:tc>
          <w:tcPr>
            <w:tcW w:w="3308" w:type="dxa"/>
          </w:tcPr>
          <w:p w:rsidR="00C824C6" w:rsidRPr="004D3339" w:rsidRDefault="00381100" w:rsidP="001D7288">
            <w:pPr>
              <w:rPr>
                <w:rFonts w:ascii="Times New Roman" w:eastAsia="Times New Roman" w:hAnsi="Times New Roman" w:cs="Times New Roman"/>
                <w:bCs/>
                <w:color w:val="424242"/>
              </w:rPr>
            </w:pPr>
            <w:r w:rsidRPr="004D3339">
              <w:rPr>
                <w:rFonts w:ascii="Times New Roman" w:eastAsia="Times New Roman" w:hAnsi="Times New Roman" w:cs="Times New Roman"/>
                <w:bCs/>
                <w:color w:val="424242"/>
              </w:rPr>
              <w:br/>
              <w:t>1,502,981/ 1,352,348</w:t>
            </w:r>
          </w:p>
        </w:tc>
        <w:tc>
          <w:tcPr>
            <w:tcW w:w="3010" w:type="dxa"/>
          </w:tcPr>
          <w:p w:rsidR="00C824C6" w:rsidRPr="004D3339" w:rsidRDefault="00381100" w:rsidP="00C824C6">
            <w:pPr>
              <w:spacing w:line="480" w:lineRule="auto"/>
              <w:jc w:val="both"/>
              <w:rPr>
                <w:rFonts w:ascii="Times New Roman" w:hAnsi="Times New Roman" w:cs="Times New Roman"/>
              </w:rPr>
            </w:pPr>
            <w:r w:rsidRPr="004D3339">
              <w:rPr>
                <w:rFonts w:ascii="Times New Roman" w:hAnsi="Times New Roman" w:cs="Times New Roman"/>
              </w:rPr>
              <w:t>1.11</w:t>
            </w:r>
          </w:p>
        </w:tc>
      </w:tr>
      <w:tr w:rsidR="00D82216" w:rsidTr="004917FF">
        <w:tc>
          <w:tcPr>
            <w:tcW w:w="2538" w:type="dxa"/>
          </w:tcPr>
          <w:p w:rsidR="00C824C6" w:rsidRPr="004D3339" w:rsidRDefault="00381100" w:rsidP="00C824C6">
            <w:pPr>
              <w:spacing w:line="480" w:lineRule="auto"/>
              <w:jc w:val="both"/>
              <w:rPr>
                <w:rFonts w:ascii="Times New Roman" w:hAnsi="Times New Roman" w:cs="Times New Roman"/>
              </w:rPr>
            </w:pPr>
            <w:r w:rsidRPr="004D3339">
              <w:rPr>
                <w:rFonts w:ascii="Times New Roman" w:hAnsi="Times New Roman" w:cs="Times New Roman"/>
              </w:rPr>
              <w:t xml:space="preserve">Quick ratio </w:t>
            </w:r>
          </w:p>
        </w:tc>
        <w:tc>
          <w:tcPr>
            <w:tcW w:w="3308" w:type="dxa"/>
          </w:tcPr>
          <w:p w:rsidR="00C824C6" w:rsidRPr="004D3339" w:rsidRDefault="00381100" w:rsidP="001D7288">
            <w:pPr>
              <w:spacing w:line="480" w:lineRule="auto"/>
              <w:rPr>
                <w:rFonts w:ascii="Times New Roman" w:hAnsi="Times New Roman" w:cs="Times New Roman"/>
              </w:rPr>
            </w:pPr>
            <w:r>
              <w:rPr>
                <w:rFonts w:ascii="Times New Roman" w:eastAsia="Times New Roman" w:hAnsi="Times New Roman" w:cs="Times New Roman"/>
                <w:bCs/>
                <w:color w:val="424242"/>
              </w:rPr>
              <w:t xml:space="preserve">1,502,981- </w:t>
            </w:r>
            <w:r w:rsidRPr="004D3339">
              <w:rPr>
                <w:rFonts w:ascii="Times New Roman" w:eastAsia="Times New Roman" w:hAnsi="Times New Roman" w:cs="Times New Roman"/>
                <w:bCs/>
                <w:color w:val="424242"/>
              </w:rPr>
              <w:t xml:space="preserve">0.51/ </w:t>
            </w:r>
            <w:r w:rsidRPr="004D3339">
              <w:rPr>
                <w:rFonts w:ascii="Times New Roman" w:eastAsia="Times New Roman" w:hAnsi="Times New Roman" w:cs="Times New Roman"/>
                <w:bCs/>
                <w:color w:val="424242"/>
              </w:rPr>
              <w:t>1,352,348</w:t>
            </w:r>
          </w:p>
        </w:tc>
        <w:tc>
          <w:tcPr>
            <w:tcW w:w="3010" w:type="dxa"/>
          </w:tcPr>
          <w:p w:rsidR="00C824C6" w:rsidRPr="004D3339" w:rsidRDefault="00381100" w:rsidP="00C824C6">
            <w:pPr>
              <w:spacing w:line="480" w:lineRule="auto"/>
              <w:jc w:val="both"/>
              <w:rPr>
                <w:rFonts w:ascii="Times New Roman" w:hAnsi="Times New Roman" w:cs="Times New Roman"/>
              </w:rPr>
            </w:pPr>
            <w:r>
              <w:rPr>
                <w:rFonts w:ascii="Times New Roman" w:hAnsi="Times New Roman" w:cs="Times New Roman"/>
              </w:rPr>
              <w:t>1.11</w:t>
            </w:r>
          </w:p>
        </w:tc>
      </w:tr>
      <w:tr w:rsidR="00D82216" w:rsidTr="004917FF">
        <w:tc>
          <w:tcPr>
            <w:tcW w:w="2538" w:type="dxa"/>
          </w:tcPr>
          <w:p w:rsidR="00C824C6" w:rsidRPr="004D3339" w:rsidRDefault="00381100" w:rsidP="00C824C6">
            <w:pPr>
              <w:spacing w:line="480" w:lineRule="auto"/>
              <w:jc w:val="both"/>
              <w:rPr>
                <w:rFonts w:ascii="Times New Roman" w:hAnsi="Times New Roman" w:cs="Times New Roman"/>
              </w:rPr>
            </w:pPr>
            <w:r w:rsidRPr="004D3339">
              <w:rPr>
                <w:rFonts w:ascii="Times New Roman" w:hAnsi="Times New Roman" w:cs="Times New Roman"/>
              </w:rPr>
              <w:t xml:space="preserve">Debt-to-equity </w:t>
            </w:r>
          </w:p>
        </w:tc>
        <w:tc>
          <w:tcPr>
            <w:tcW w:w="3308" w:type="dxa"/>
          </w:tcPr>
          <w:p w:rsidR="00C824C6" w:rsidRPr="004D3339" w:rsidRDefault="00381100" w:rsidP="001D7288">
            <w:pPr>
              <w:spacing w:line="480" w:lineRule="auto"/>
              <w:rPr>
                <w:rFonts w:ascii="Times New Roman" w:hAnsi="Times New Roman" w:cs="Times New Roman"/>
              </w:rPr>
            </w:pPr>
            <w:r>
              <w:rPr>
                <w:rFonts w:ascii="Times New Roman" w:hAnsi="Times New Roman" w:cs="Times New Roman"/>
              </w:rPr>
              <w:t>489.59</w:t>
            </w:r>
            <w:r w:rsidR="00193638" w:rsidRPr="004D3339">
              <w:rPr>
                <w:rFonts w:ascii="Times New Roman" w:hAnsi="Times New Roman" w:cs="Times New Roman"/>
              </w:rPr>
              <w:t>/ 2101,384</w:t>
            </w:r>
          </w:p>
        </w:tc>
        <w:tc>
          <w:tcPr>
            <w:tcW w:w="3010" w:type="dxa"/>
          </w:tcPr>
          <w:p w:rsidR="00C824C6" w:rsidRPr="004D3339" w:rsidRDefault="00381100" w:rsidP="00C824C6">
            <w:pPr>
              <w:spacing w:line="480" w:lineRule="auto"/>
              <w:jc w:val="both"/>
              <w:rPr>
                <w:rFonts w:ascii="Times New Roman" w:hAnsi="Times New Roman" w:cs="Times New Roman"/>
              </w:rPr>
            </w:pPr>
            <w:r>
              <w:rPr>
                <w:rFonts w:ascii="Times New Roman" w:hAnsi="Times New Roman" w:cs="Times New Roman"/>
              </w:rPr>
              <w:t>0.</w:t>
            </w:r>
            <w:r w:rsidR="001D7288">
              <w:rPr>
                <w:rFonts w:ascii="Times New Roman" w:hAnsi="Times New Roman" w:cs="Times New Roman"/>
              </w:rPr>
              <w:t>2</w:t>
            </w:r>
          </w:p>
        </w:tc>
      </w:tr>
      <w:tr w:rsidR="00D82216" w:rsidTr="004917FF">
        <w:tc>
          <w:tcPr>
            <w:tcW w:w="2538" w:type="dxa"/>
          </w:tcPr>
          <w:p w:rsidR="00C824C6" w:rsidRPr="004D3339" w:rsidRDefault="00381100" w:rsidP="00C824C6">
            <w:pPr>
              <w:spacing w:line="480" w:lineRule="auto"/>
              <w:jc w:val="both"/>
              <w:rPr>
                <w:rFonts w:ascii="Times New Roman" w:hAnsi="Times New Roman" w:cs="Times New Roman"/>
              </w:rPr>
            </w:pPr>
            <w:r w:rsidRPr="004D3339">
              <w:rPr>
                <w:rFonts w:ascii="Times New Roman" w:hAnsi="Times New Roman" w:cs="Times New Roman"/>
              </w:rPr>
              <w:t>Return on equity.</w:t>
            </w:r>
          </w:p>
        </w:tc>
        <w:tc>
          <w:tcPr>
            <w:tcW w:w="3308" w:type="dxa"/>
          </w:tcPr>
          <w:p w:rsidR="00C824C6" w:rsidRPr="004D3339" w:rsidRDefault="00381100" w:rsidP="001D7288">
            <w:pPr>
              <w:spacing w:line="480" w:lineRule="auto"/>
              <w:rPr>
                <w:rFonts w:ascii="Times New Roman" w:hAnsi="Times New Roman" w:cs="Times New Roman"/>
              </w:rPr>
            </w:pPr>
            <w:r w:rsidRPr="004D3339">
              <w:rPr>
                <w:rFonts w:ascii="Times New Roman" w:eastAsia="Times New Roman" w:hAnsi="Times New Roman" w:cs="Times New Roman"/>
                <w:bCs/>
                <w:color w:val="424242"/>
              </w:rPr>
              <w:t xml:space="preserve">1,352,348/ </w:t>
            </w:r>
            <w:r w:rsidRPr="004D3339">
              <w:rPr>
                <w:rFonts w:ascii="Times New Roman" w:hAnsi="Times New Roman" w:cs="Times New Roman"/>
              </w:rPr>
              <w:t>2101,384</w:t>
            </w:r>
          </w:p>
        </w:tc>
        <w:tc>
          <w:tcPr>
            <w:tcW w:w="3010" w:type="dxa"/>
          </w:tcPr>
          <w:p w:rsidR="00C824C6" w:rsidRPr="004D3339" w:rsidRDefault="00381100" w:rsidP="00C824C6">
            <w:pPr>
              <w:spacing w:line="480" w:lineRule="auto"/>
              <w:jc w:val="both"/>
              <w:rPr>
                <w:rFonts w:ascii="Times New Roman" w:hAnsi="Times New Roman" w:cs="Times New Roman"/>
              </w:rPr>
            </w:pPr>
            <w:r>
              <w:rPr>
                <w:rFonts w:ascii="Times New Roman" w:hAnsi="Times New Roman" w:cs="Times New Roman"/>
              </w:rPr>
              <w:t>0.64</w:t>
            </w:r>
          </w:p>
        </w:tc>
      </w:tr>
    </w:tbl>
    <w:p w:rsidR="00C824C6" w:rsidRDefault="00C824C6" w:rsidP="00C824C6">
      <w:pPr>
        <w:spacing w:line="480" w:lineRule="auto"/>
        <w:jc w:val="both"/>
        <w:rPr>
          <w:rFonts w:ascii="Times New Roman" w:hAnsi="Times New Roman" w:cs="Times New Roman"/>
        </w:rPr>
      </w:pPr>
    </w:p>
    <w:p w:rsidR="005D1E34" w:rsidRPr="00C824C6" w:rsidRDefault="00381100" w:rsidP="00C824C6">
      <w:pPr>
        <w:spacing w:line="480" w:lineRule="auto"/>
        <w:jc w:val="both"/>
        <w:rPr>
          <w:rFonts w:ascii="Times New Roman" w:hAnsi="Times New Roman" w:cs="Times New Roman"/>
        </w:rPr>
      </w:pPr>
      <w:r>
        <w:rPr>
          <w:rFonts w:ascii="Times New Roman" w:hAnsi="Times New Roman" w:cs="Times New Roman"/>
        </w:rPr>
        <w:lastRenderedPageBreak/>
        <w:t xml:space="preserve">The current ration (1.11) depicts that the company holds a </w:t>
      </w:r>
      <w:r w:rsidR="005B2B50">
        <w:rPr>
          <w:rFonts w:ascii="Times New Roman" w:hAnsi="Times New Roman" w:cs="Times New Roman"/>
        </w:rPr>
        <w:t>limited</w:t>
      </w:r>
      <w:r>
        <w:rPr>
          <w:rFonts w:ascii="Times New Roman" w:hAnsi="Times New Roman" w:cs="Times New Roman"/>
        </w:rPr>
        <w:t xml:space="preserve"> capacity of paying back its short-term obligations. The company can pay back its debts having a value of 1.11. </w:t>
      </w:r>
      <w:r w:rsidR="005B2B50">
        <w:rPr>
          <w:rFonts w:ascii="Times New Roman" w:hAnsi="Times New Roman" w:cs="Times New Roman"/>
        </w:rPr>
        <w:t>The</w:t>
      </w:r>
      <w:r>
        <w:rPr>
          <w:rFonts w:ascii="Times New Roman" w:hAnsi="Times New Roman" w:cs="Times New Roman"/>
        </w:rPr>
        <w:t xml:space="preserve"> value between 1-1.5 is not satisfactory indicating that the company needs to improve its ability to pay back </w:t>
      </w:r>
      <w:r w:rsidR="005B2B50">
        <w:rPr>
          <w:rFonts w:ascii="Times New Roman" w:hAnsi="Times New Roman" w:cs="Times New Roman"/>
        </w:rPr>
        <w:t xml:space="preserve">debts. Quick ration reveals the state of short-term liquidity of the firm. It is used for estimating short-term debts that are most liquid.  </w:t>
      </w:r>
      <w:r w:rsidR="008613BC">
        <w:rPr>
          <w:rFonts w:ascii="Times New Roman" w:hAnsi="Times New Roman" w:cs="Times New Roman"/>
        </w:rPr>
        <w:t xml:space="preserve">The value of 1.11 depicts that the comp may have a limited capacity of meeting its obligations. The debt-to-equity ratio explains the financial leverage of the firm by estimating total liability against </w:t>
      </w:r>
      <w:r w:rsidR="000E3144">
        <w:rPr>
          <w:rFonts w:ascii="Times New Roman" w:hAnsi="Times New Roman" w:cs="Times New Roman"/>
        </w:rPr>
        <w:t>stakeholders’</w:t>
      </w:r>
      <w:r w:rsidR="008613BC">
        <w:rPr>
          <w:rFonts w:ascii="Times New Roman" w:hAnsi="Times New Roman" w:cs="Times New Roman"/>
        </w:rPr>
        <w:t xml:space="preserve"> equity. </w:t>
      </w:r>
      <w:r w:rsidR="000E3144">
        <w:rPr>
          <w:rFonts w:ascii="Times New Roman" w:hAnsi="Times New Roman" w:cs="Times New Roman"/>
        </w:rPr>
        <w:t xml:space="preserve">The ratio is an important measure for estimating the degree of the company's financing </w:t>
      </w:r>
      <w:r w:rsidR="002E7730">
        <w:rPr>
          <w:rFonts w:ascii="Times New Roman" w:hAnsi="Times New Roman" w:cs="Times New Roman"/>
        </w:rPr>
        <w:t xml:space="preserve">its operations through debts. The debt-to-equity ratio is 0.2 indicating that stakeholders are financing the company's operations. Return on equity determines the net income returned on the equity of stakeholders. This reveals the number of profits generated by JB Hunt. </w:t>
      </w:r>
      <w:r w:rsidR="00BD0826">
        <w:rPr>
          <w:rFonts w:ascii="Times New Roman" w:hAnsi="Times New Roman" w:cs="Times New Roman"/>
        </w:rPr>
        <w:t xml:space="preserve">The value of ROE is 0.64 that indicates that the firm is generating profits from </w:t>
      </w:r>
      <w:proofErr w:type="gramStart"/>
      <w:r w:rsidR="00BD0826">
        <w:rPr>
          <w:rFonts w:ascii="Times New Roman" w:hAnsi="Times New Roman" w:cs="Times New Roman"/>
        </w:rPr>
        <w:t>stakeholders</w:t>
      </w:r>
      <w:proofErr w:type="gramEnd"/>
      <w:r w:rsidR="00BD0826">
        <w:rPr>
          <w:rFonts w:ascii="Times New Roman" w:hAnsi="Times New Roman" w:cs="Times New Roman"/>
        </w:rPr>
        <w:t xml:space="preserve"> investment. </w:t>
      </w:r>
      <w:r w:rsidR="009D4F0A">
        <w:rPr>
          <w:rFonts w:ascii="Times New Roman" w:hAnsi="Times New Roman" w:cs="Times New Roman"/>
        </w:rPr>
        <w:t xml:space="preserve">The analysis of the financial ratios depicts that it will benefit the company's strategy. </w:t>
      </w:r>
      <w:r w:rsidR="00192F80">
        <w:rPr>
          <w:rFonts w:ascii="Times New Roman" w:hAnsi="Times New Roman" w:cs="Times New Roman"/>
        </w:rPr>
        <w:t>The company has a capacity of investing in a new project.</w:t>
      </w:r>
    </w:p>
    <w:p w:rsidR="009202CB" w:rsidRPr="00192F80" w:rsidRDefault="00381100" w:rsidP="00192F80">
      <w:pPr>
        <w:spacing w:line="480" w:lineRule="auto"/>
        <w:jc w:val="both"/>
        <w:rPr>
          <w:rFonts w:ascii="Times New Roman" w:hAnsi="Times New Roman" w:cs="Times New Roman"/>
          <w:b/>
        </w:rPr>
      </w:pPr>
      <w:r w:rsidRPr="00192F80">
        <w:rPr>
          <w:rFonts w:ascii="Times New Roman" w:hAnsi="Times New Roman" w:cs="Times New Roman"/>
          <w:b/>
        </w:rPr>
        <w:t>Strategy evaluation</w:t>
      </w:r>
    </w:p>
    <w:p w:rsidR="009202CB" w:rsidRDefault="00381100" w:rsidP="009202CB">
      <w:pPr>
        <w:spacing w:line="480" w:lineRule="auto"/>
        <w:jc w:val="both"/>
        <w:rPr>
          <w:rFonts w:ascii="Times New Roman" w:hAnsi="Times New Roman" w:cs="Times New Roman"/>
        </w:rPr>
      </w:pPr>
      <w:r>
        <w:rPr>
          <w:rFonts w:ascii="Times New Roman" w:hAnsi="Times New Roman" w:cs="Times New Roman"/>
        </w:rPr>
        <w:t xml:space="preserve">Balanced scorecard </w:t>
      </w:r>
    </w:p>
    <w:p w:rsidR="00F645F4" w:rsidRDefault="00381100" w:rsidP="009202CB">
      <w:pPr>
        <w:spacing w:line="480" w:lineRule="auto"/>
        <w:jc w:val="both"/>
        <w:rPr>
          <w:rFonts w:ascii="Times New Roman" w:hAnsi="Times New Roman" w:cs="Times New Roman"/>
        </w:rPr>
      </w:pPr>
      <w:r>
        <w:rPr>
          <w:rFonts w:ascii="Times New Roman" w:hAnsi="Times New Roman" w:cs="Times New Roman"/>
        </w:rPr>
        <w:t xml:space="preserve">The balanced scorecard is used for assessing the financial performance of the company. </w:t>
      </w:r>
      <w:r w:rsidR="00035E0A">
        <w:rPr>
          <w:rFonts w:ascii="Times New Roman" w:hAnsi="Times New Roman" w:cs="Times New Roman"/>
        </w:rPr>
        <w:t>Financial measures reflect</w:t>
      </w:r>
      <w:r w:rsidR="002E141E">
        <w:rPr>
          <w:rFonts w:ascii="Times New Roman" w:hAnsi="Times New Roman" w:cs="Times New Roman"/>
        </w:rPr>
        <w:t xml:space="preserve"> the company's strategy, implementation, and contribution to the </w:t>
      </w:r>
      <w:r w:rsidR="00C976A0">
        <w:rPr>
          <w:rFonts w:ascii="Times New Roman" w:hAnsi="Times New Roman" w:cs="Times New Roman"/>
        </w:rPr>
        <w:t xml:space="preserve">bottom-line. The financial goals focus on revenue growth, profitability, and stakeholders value. </w:t>
      </w:r>
      <w:r w:rsidR="00057077">
        <w:rPr>
          <w:rFonts w:ascii="Times New Roman" w:hAnsi="Times New Roman" w:cs="Times New Roman"/>
        </w:rPr>
        <w:t>It emphasizes on success, survival, and prosperity. Cash flow is used for determining the success and financial</w:t>
      </w:r>
      <w:r w:rsidR="00A266CD">
        <w:rPr>
          <w:rFonts w:ascii="Times New Roman" w:hAnsi="Times New Roman" w:cs="Times New Roman"/>
        </w:rPr>
        <w:t xml:space="preserve"> stability of the company </w:t>
      </w:r>
      <w:sdt>
        <w:sdtPr>
          <w:rPr>
            <w:rFonts w:ascii="Times New Roman" w:hAnsi="Times New Roman" w:cs="Times New Roman"/>
          </w:rPr>
          <w:id w:val="-615525778"/>
          <w:citation/>
        </w:sdtPr>
        <w:sdtEndPr/>
        <w:sdtContent>
          <w:r w:rsidR="00A266CD">
            <w:rPr>
              <w:rFonts w:ascii="Times New Roman" w:hAnsi="Times New Roman" w:cs="Times New Roman"/>
            </w:rPr>
            <w:fldChar w:fldCharType="begin"/>
          </w:r>
          <w:r w:rsidR="00A266CD">
            <w:rPr>
              <w:rFonts w:ascii="Times New Roman" w:hAnsi="Times New Roman" w:cs="Times New Roman"/>
            </w:rPr>
            <w:instrText xml:space="preserve"> CITATION Rob92 \l 1033 </w:instrText>
          </w:r>
          <w:r w:rsidR="00A266CD">
            <w:rPr>
              <w:rFonts w:ascii="Times New Roman" w:hAnsi="Times New Roman" w:cs="Times New Roman"/>
            </w:rPr>
            <w:fldChar w:fldCharType="separate"/>
          </w:r>
          <w:r w:rsidR="00A266CD" w:rsidRPr="00A266CD">
            <w:rPr>
              <w:rFonts w:ascii="Times New Roman" w:hAnsi="Times New Roman" w:cs="Times New Roman"/>
              <w:noProof/>
            </w:rPr>
            <w:t>(Kaplan &amp; Norton, 1992)</w:t>
          </w:r>
          <w:r w:rsidR="00A266CD">
            <w:rPr>
              <w:rFonts w:ascii="Times New Roman" w:hAnsi="Times New Roman" w:cs="Times New Roman"/>
            </w:rPr>
            <w:fldChar w:fldCharType="end"/>
          </w:r>
        </w:sdtContent>
      </w:sdt>
      <w:r w:rsidR="00A266CD">
        <w:rPr>
          <w:rFonts w:ascii="Times New Roman" w:hAnsi="Times New Roman" w:cs="Times New Roman"/>
        </w:rPr>
        <w:t xml:space="preserve">. </w:t>
      </w:r>
    </w:p>
    <w:p w:rsidR="001843BF" w:rsidRDefault="00381100" w:rsidP="009202CB">
      <w:pPr>
        <w:spacing w:line="480" w:lineRule="auto"/>
        <w:jc w:val="both"/>
        <w:rPr>
          <w:rFonts w:ascii="Times New Roman" w:hAnsi="Times New Roman" w:cs="Times New Roman"/>
        </w:rPr>
      </w:pPr>
      <w:r>
        <w:rPr>
          <w:rFonts w:ascii="Times New Roman" w:hAnsi="Times New Roman" w:cs="Times New Roman"/>
        </w:rPr>
        <w:lastRenderedPageBreak/>
        <w:t>Financial objectives</w:t>
      </w:r>
    </w:p>
    <w:tbl>
      <w:tblPr>
        <w:tblStyle w:val="TableGrid"/>
        <w:tblW w:w="0" w:type="auto"/>
        <w:tblLook w:val="04A0" w:firstRow="1" w:lastRow="0" w:firstColumn="1" w:lastColumn="0" w:noHBand="0" w:noVBand="1"/>
      </w:tblPr>
      <w:tblGrid>
        <w:gridCol w:w="2068"/>
        <w:gridCol w:w="4880"/>
        <w:gridCol w:w="1908"/>
      </w:tblGrid>
      <w:tr w:rsidR="00D82216" w:rsidTr="00CB4C5D">
        <w:tc>
          <w:tcPr>
            <w:tcW w:w="2068"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 xml:space="preserve">Goals </w:t>
            </w:r>
          </w:p>
        </w:tc>
        <w:tc>
          <w:tcPr>
            <w:tcW w:w="4880"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Measures</w:t>
            </w:r>
            <w:r w:rsidR="00C824C6">
              <w:rPr>
                <w:rFonts w:ascii="Times New Roman" w:hAnsi="Times New Roman" w:cs="Times New Roman"/>
              </w:rPr>
              <w:t xml:space="preserve">/ recommendations </w:t>
            </w:r>
          </w:p>
        </w:tc>
        <w:tc>
          <w:tcPr>
            <w:tcW w:w="1908"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 xml:space="preserve">Target </w:t>
            </w:r>
          </w:p>
        </w:tc>
      </w:tr>
      <w:tr w:rsidR="00D82216" w:rsidTr="00CB4C5D">
        <w:tc>
          <w:tcPr>
            <w:tcW w:w="2068"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 xml:space="preserve">Survival </w:t>
            </w:r>
          </w:p>
        </w:tc>
        <w:tc>
          <w:tcPr>
            <w:tcW w:w="4880"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 xml:space="preserve">Improving cash flow </w:t>
            </w:r>
          </w:p>
        </w:tc>
        <w:tc>
          <w:tcPr>
            <w:tcW w:w="1908"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3%</w:t>
            </w:r>
          </w:p>
        </w:tc>
      </w:tr>
      <w:tr w:rsidR="00D82216" w:rsidTr="00CB4C5D">
        <w:tc>
          <w:tcPr>
            <w:tcW w:w="2068"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 xml:space="preserve">Success </w:t>
            </w:r>
          </w:p>
        </w:tc>
        <w:tc>
          <w:tcPr>
            <w:tcW w:w="4880"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 xml:space="preserve">Increase in quarterly sales and improved operating income. </w:t>
            </w:r>
          </w:p>
        </w:tc>
        <w:tc>
          <w:tcPr>
            <w:tcW w:w="1908"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5%</w:t>
            </w:r>
          </w:p>
        </w:tc>
      </w:tr>
      <w:tr w:rsidR="00D82216" w:rsidTr="00CB4C5D">
        <w:tc>
          <w:tcPr>
            <w:tcW w:w="2068"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 xml:space="preserve">Prosperity </w:t>
            </w:r>
          </w:p>
        </w:tc>
        <w:tc>
          <w:tcPr>
            <w:tcW w:w="4880"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 xml:space="preserve">Increasing return on equity and market share. </w:t>
            </w:r>
          </w:p>
        </w:tc>
        <w:tc>
          <w:tcPr>
            <w:tcW w:w="1908" w:type="dxa"/>
          </w:tcPr>
          <w:p w:rsidR="00CB4C5D" w:rsidRDefault="00381100" w:rsidP="009202CB">
            <w:pPr>
              <w:spacing w:line="480" w:lineRule="auto"/>
              <w:jc w:val="both"/>
              <w:rPr>
                <w:rFonts w:ascii="Times New Roman" w:hAnsi="Times New Roman" w:cs="Times New Roman"/>
              </w:rPr>
            </w:pPr>
            <w:r>
              <w:rPr>
                <w:rFonts w:ascii="Times New Roman" w:hAnsi="Times New Roman" w:cs="Times New Roman"/>
              </w:rPr>
              <w:t>4%</w:t>
            </w:r>
          </w:p>
        </w:tc>
      </w:tr>
    </w:tbl>
    <w:p w:rsidR="001843BF" w:rsidRDefault="001843BF" w:rsidP="009202CB">
      <w:pPr>
        <w:spacing w:line="480" w:lineRule="auto"/>
        <w:jc w:val="both"/>
        <w:rPr>
          <w:rFonts w:ascii="Times New Roman" w:hAnsi="Times New Roman" w:cs="Times New Roman"/>
        </w:rPr>
      </w:pPr>
    </w:p>
    <w:p w:rsidR="001843BF" w:rsidRDefault="00381100" w:rsidP="009202CB">
      <w:pPr>
        <w:spacing w:line="480" w:lineRule="auto"/>
        <w:jc w:val="both"/>
        <w:rPr>
          <w:rFonts w:ascii="Times New Roman" w:hAnsi="Times New Roman" w:cs="Times New Roman"/>
        </w:rPr>
      </w:pPr>
      <w:r>
        <w:rPr>
          <w:rFonts w:ascii="Times New Roman" w:hAnsi="Times New Roman" w:cs="Times New Roman"/>
        </w:rPr>
        <w:t xml:space="preserve">Non-financial objectives </w:t>
      </w:r>
    </w:p>
    <w:tbl>
      <w:tblPr>
        <w:tblStyle w:val="TableGrid"/>
        <w:tblW w:w="0" w:type="auto"/>
        <w:tblLook w:val="04A0" w:firstRow="1" w:lastRow="0" w:firstColumn="1" w:lastColumn="0" w:noHBand="0" w:noVBand="1"/>
      </w:tblPr>
      <w:tblGrid>
        <w:gridCol w:w="2239"/>
        <w:gridCol w:w="4709"/>
        <w:gridCol w:w="1908"/>
      </w:tblGrid>
      <w:tr w:rsidR="00D82216" w:rsidTr="00CB4C5D">
        <w:tc>
          <w:tcPr>
            <w:tcW w:w="2239"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 xml:space="preserve">Goals </w:t>
            </w:r>
          </w:p>
        </w:tc>
        <w:tc>
          <w:tcPr>
            <w:tcW w:w="4709"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Measures</w:t>
            </w:r>
            <w:r w:rsidR="00C824C6">
              <w:rPr>
                <w:rFonts w:ascii="Times New Roman" w:hAnsi="Times New Roman" w:cs="Times New Roman"/>
              </w:rPr>
              <w:t xml:space="preserve">/ </w:t>
            </w:r>
            <w:r w:rsidR="0079422C">
              <w:rPr>
                <w:rFonts w:ascii="Times New Roman" w:hAnsi="Times New Roman" w:cs="Times New Roman"/>
              </w:rPr>
              <w:t>recommendations</w:t>
            </w:r>
            <w:r w:rsidR="00C824C6">
              <w:rPr>
                <w:rFonts w:ascii="Times New Roman" w:hAnsi="Times New Roman" w:cs="Times New Roman"/>
              </w:rPr>
              <w:t xml:space="preserve"> </w:t>
            </w:r>
          </w:p>
        </w:tc>
        <w:tc>
          <w:tcPr>
            <w:tcW w:w="1908"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 xml:space="preserve">Target </w:t>
            </w:r>
          </w:p>
        </w:tc>
      </w:tr>
      <w:tr w:rsidR="00D82216" w:rsidTr="00CB4C5D">
        <w:tc>
          <w:tcPr>
            <w:tcW w:w="2239"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Technological capability</w:t>
            </w:r>
          </w:p>
        </w:tc>
        <w:tc>
          <w:tcPr>
            <w:tcW w:w="4709"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 xml:space="preserve">Improving manufacturing by adopting efficient methods of production. </w:t>
            </w:r>
          </w:p>
        </w:tc>
        <w:tc>
          <w:tcPr>
            <w:tcW w:w="1908"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5%</w:t>
            </w:r>
          </w:p>
        </w:tc>
      </w:tr>
      <w:tr w:rsidR="00D82216" w:rsidTr="00CB4C5D">
        <w:tc>
          <w:tcPr>
            <w:tcW w:w="2239"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 xml:space="preserve">Manufacturing excellence </w:t>
            </w:r>
          </w:p>
        </w:tc>
        <w:tc>
          <w:tcPr>
            <w:tcW w:w="4709"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 xml:space="preserve">Reducing the cycle time of production. Minimizing unit cost yield. </w:t>
            </w:r>
          </w:p>
        </w:tc>
        <w:tc>
          <w:tcPr>
            <w:tcW w:w="1908"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2%</w:t>
            </w:r>
          </w:p>
        </w:tc>
      </w:tr>
      <w:tr w:rsidR="00D82216" w:rsidTr="00CB4C5D">
        <w:tc>
          <w:tcPr>
            <w:tcW w:w="2239"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Design productivity</w:t>
            </w:r>
          </w:p>
        </w:tc>
        <w:tc>
          <w:tcPr>
            <w:tcW w:w="4709"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Improving eng</w:t>
            </w:r>
            <w:r>
              <w:rPr>
                <w:rFonts w:ascii="Times New Roman" w:hAnsi="Times New Roman" w:cs="Times New Roman"/>
              </w:rPr>
              <w:t>ineering efficiency.</w:t>
            </w:r>
          </w:p>
        </w:tc>
        <w:tc>
          <w:tcPr>
            <w:tcW w:w="1908" w:type="dxa"/>
          </w:tcPr>
          <w:p w:rsidR="00CB4C5D" w:rsidRDefault="00381100" w:rsidP="00C824C6">
            <w:pPr>
              <w:spacing w:line="480" w:lineRule="auto"/>
              <w:jc w:val="both"/>
              <w:rPr>
                <w:rFonts w:ascii="Times New Roman" w:hAnsi="Times New Roman" w:cs="Times New Roman"/>
              </w:rPr>
            </w:pPr>
            <w:r>
              <w:rPr>
                <w:rFonts w:ascii="Times New Roman" w:hAnsi="Times New Roman" w:cs="Times New Roman"/>
              </w:rPr>
              <w:t>3%</w:t>
            </w:r>
          </w:p>
        </w:tc>
      </w:tr>
      <w:tr w:rsidR="00D82216" w:rsidTr="00CB4C5D">
        <w:tc>
          <w:tcPr>
            <w:tcW w:w="2239" w:type="dxa"/>
          </w:tcPr>
          <w:p w:rsidR="00755C81" w:rsidRDefault="00381100" w:rsidP="00C824C6">
            <w:pPr>
              <w:spacing w:line="480" w:lineRule="auto"/>
              <w:jc w:val="both"/>
              <w:rPr>
                <w:rFonts w:ascii="Times New Roman" w:hAnsi="Times New Roman" w:cs="Times New Roman"/>
              </w:rPr>
            </w:pPr>
            <w:r>
              <w:rPr>
                <w:rFonts w:ascii="Times New Roman" w:hAnsi="Times New Roman" w:cs="Times New Roman"/>
              </w:rPr>
              <w:t xml:space="preserve">New product </w:t>
            </w:r>
          </w:p>
        </w:tc>
        <w:tc>
          <w:tcPr>
            <w:tcW w:w="4709" w:type="dxa"/>
          </w:tcPr>
          <w:p w:rsidR="00755C81" w:rsidRDefault="00381100" w:rsidP="00C824C6">
            <w:pPr>
              <w:spacing w:line="480" w:lineRule="auto"/>
              <w:jc w:val="both"/>
              <w:rPr>
                <w:rFonts w:ascii="Times New Roman" w:hAnsi="Times New Roman" w:cs="Times New Roman"/>
              </w:rPr>
            </w:pPr>
            <w:r>
              <w:rPr>
                <w:rFonts w:ascii="Times New Roman" w:hAnsi="Times New Roman" w:cs="Times New Roman"/>
              </w:rPr>
              <w:t xml:space="preserve">Adopting schedule vs. plan </w:t>
            </w:r>
          </w:p>
        </w:tc>
        <w:tc>
          <w:tcPr>
            <w:tcW w:w="1908" w:type="dxa"/>
          </w:tcPr>
          <w:p w:rsidR="00755C81" w:rsidRDefault="00381100" w:rsidP="00C824C6">
            <w:pPr>
              <w:spacing w:line="480" w:lineRule="auto"/>
              <w:jc w:val="both"/>
              <w:rPr>
                <w:rFonts w:ascii="Times New Roman" w:hAnsi="Times New Roman" w:cs="Times New Roman"/>
              </w:rPr>
            </w:pPr>
            <w:r>
              <w:rPr>
                <w:rFonts w:ascii="Times New Roman" w:hAnsi="Times New Roman" w:cs="Times New Roman"/>
              </w:rPr>
              <w:t>2%</w:t>
            </w:r>
          </w:p>
        </w:tc>
      </w:tr>
    </w:tbl>
    <w:p w:rsidR="00FA3096" w:rsidRDefault="00FA3096" w:rsidP="00192F80">
      <w:pPr>
        <w:spacing w:line="480" w:lineRule="auto"/>
        <w:jc w:val="both"/>
        <w:rPr>
          <w:rFonts w:ascii="Times New Roman" w:hAnsi="Times New Roman" w:cs="Times New Roman"/>
        </w:rPr>
      </w:pPr>
    </w:p>
    <w:p w:rsidR="0079422C" w:rsidRDefault="00381100" w:rsidP="0079422C">
      <w:pPr>
        <w:spacing w:line="480" w:lineRule="auto"/>
        <w:jc w:val="both"/>
        <w:rPr>
          <w:rFonts w:ascii="Times New Roman" w:hAnsi="Times New Roman" w:cs="Times New Roman"/>
        </w:rPr>
      </w:pPr>
      <w:r>
        <w:rPr>
          <w:rFonts w:ascii="Times New Roman" w:hAnsi="Times New Roman" w:cs="Times New Roman"/>
        </w:rPr>
        <w:t>Conclusion</w:t>
      </w:r>
    </w:p>
    <w:p w:rsidR="00FA3096" w:rsidRDefault="00381100" w:rsidP="0079422C">
      <w:pPr>
        <w:spacing w:line="480" w:lineRule="auto"/>
        <w:jc w:val="both"/>
        <w:rPr>
          <w:rFonts w:ascii="Times New Roman" w:hAnsi="Times New Roman" w:cs="Times New Roman"/>
        </w:rPr>
      </w:pPr>
      <w:r>
        <w:rPr>
          <w:rFonts w:ascii="Times New Roman" w:hAnsi="Times New Roman" w:cs="Times New Roman"/>
        </w:rPr>
        <w:t xml:space="preserve">The comparison of the current strategy of improving organizational productivity is also identified by the </w:t>
      </w:r>
      <w:proofErr w:type="gramStart"/>
      <w:r>
        <w:rPr>
          <w:rFonts w:ascii="Times New Roman" w:hAnsi="Times New Roman" w:cs="Times New Roman"/>
        </w:rPr>
        <w:t>company's</w:t>
      </w:r>
      <w:proofErr w:type="gramEnd"/>
      <w:r>
        <w:rPr>
          <w:rFonts w:ascii="Times New Roman" w:hAnsi="Times New Roman" w:cs="Times New Roman"/>
        </w:rPr>
        <w:t xml:space="preserve"> own strategy. However, the proposed strategy emphasizes on improving employee-employer relationships such as by creating a buddy system. It </w:t>
      </w:r>
      <w:r>
        <w:rPr>
          <w:rFonts w:ascii="Times New Roman" w:hAnsi="Times New Roman" w:cs="Times New Roman"/>
        </w:rPr>
        <w:t xml:space="preserve">also recommends the adoption of enhanced technology that is also part of the company's original strategy such as JB Hunt 360. </w:t>
      </w:r>
      <w:r w:rsidR="0042311A">
        <w:rPr>
          <w:rFonts w:ascii="Times New Roman" w:hAnsi="Times New Roman" w:cs="Times New Roman"/>
        </w:rPr>
        <w:t>The enhance</w:t>
      </w:r>
      <w:r w:rsidR="00B65CEE">
        <w:rPr>
          <w:rFonts w:ascii="Times New Roman" w:hAnsi="Times New Roman" w:cs="Times New Roman"/>
        </w:rPr>
        <w:t xml:space="preserve">ment of technology emphasizes on building online systems. </w:t>
      </w:r>
      <w:bookmarkStart w:id="0" w:name="_GoBack"/>
      <w:bookmarkEnd w:id="0"/>
      <w:r>
        <w:rPr>
          <w:rFonts w:ascii="Times New Roman" w:hAnsi="Times New Roman" w:cs="Times New Roman"/>
        </w:rPr>
        <w:br w:type="page"/>
      </w:r>
    </w:p>
    <w:p w:rsidR="00FA3096" w:rsidRDefault="00381100" w:rsidP="00FA3096">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rsidR="00FA3096" w:rsidRDefault="00381100" w:rsidP="00FA309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Alias, Z., Zawawi, E., Yusof, K., </w:t>
          </w:r>
          <w:r>
            <w:rPr>
              <w:noProof/>
            </w:rPr>
            <w:t xml:space="preserve">&amp; Aris, N. (2014). Determining Critical Success Factors of Project Management Practice: A conceptual framework. </w:t>
          </w:r>
          <w:r w:rsidR="00253114">
            <w:rPr>
              <w:i/>
              <w:iCs/>
              <w:noProof/>
            </w:rPr>
            <w:t>Social and Behavioral Sciences</w:t>
          </w:r>
          <w:r>
            <w:rPr>
              <w:i/>
              <w:iCs/>
              <w:noProof/>
            </w:rPr>
            <w:t>, 153</w:t>
          </w:r>
          <w:r w:rsidR="005F1568">
            <w:rPr>
              <w:noProof/>
            </w:rPr>
            <w:t>, 61 – 69</w:t>
          </w:r>
          <w:r>
            <w:rPr>
              <w:noProof/>
            </w:rPr>
            <w:t>.</w:t>
          </w:r>
        </w:p>
        <w:p w:rsidR="00FA3096" w:rsidRDefault="00381100" w:rsidP="00FA3096">
          <w:pPr>
            <w:pStyle w:val="Bibliography"/>
            <w:spacing w:line="480" w:lineRule="auto"/>
            <w:ind w:left="720" w:hanging="720"/>
            <w:rPr>
              <w:noProof/>
            </w:rPr>
          </w:pPr>
          <w:r>
            <w:rPr>
              <w:noProof/>
            </w:rPr>
            <w:t xml:space="preserve">Kaplan, R. S., &amp; Norton, D. P. (1992). The Balanced Scorecard—Measures that Drive Performance. </w:t>
          </w:r>
          <w:r>
            <w:rPr>
              <w:i/>
              <w:iCs/>
              <w:noProof/>
            </w:rPr>
            <w:t>Har</w:t>
          </w:r>
          <w:r>
            <w:rPr>
              <w:i/>
              <w:iCs/>
              <w:noProof/>
            </w:rPr>
            <w:t>vard Business Review</w:t>
          </w:r>
          <w:r>
            <w:rPr>
              <w:noProof/>
            </w:rPr>
            <w:t>.</w:t>
          </w:r>
        </w:p>
        <w:p w:rsidR="00FA3096" w:rsidRDefault="00381100" w:rsidP="00FA3096">
          <w:pPr>
            <w:pStyle w:val="Bibliography"/>
            <w:spacing w:line="480" w:lineRule="auto"/>
            <w:ind w:left="720" w:hanging="720"/>
            <w:rPr>
              <w:noProof/>
            </w:rPr>
          </w:pPr>
          <w:r>
            <w:rPr>
              <w:noProof/>
            </w:rPr>
            <w:t xml:space="preserve">Markets. (2019). </w:t>
          </w:r>
          <w:r>
            <w:rPr>
              <w:i/>
              <w:iCs/>
              <w:noProof/>
            </w:rPr>
            <w:t xml:space="preserve">JB HUNT TRANSPORT SERVICES (JBHT) </w:t>
          </w:r>
          <w:r>
            <w:rPr>
              <w:noProof/>
            </w:rPr>
            <w:t>. Retrieved 02 28, 2019, from https://www.marketscreener.com/JB-HUNT-TRANSPORT-SERVICE-9769/ratings/</w:t>
          </w:r>
        </w:p>
        <w:p w:rsidR="00FA3096" w:rsidRDefault="00381100" w:rsidP="00FA3096">
          <w:pPr>
            <w:pStyle w:val="Bibliography"/>
            <w:spacing w:line="480" w:lineRule="auto"/>
            <w:ind w:left="720" w:hanging="720"/>
            <w:rPr>
              <w:noProof/>
            </w:rPr>
          </w:pPr>
          <w:r>
            <w:rPr>
              <w:noProof/>
            </w:rPr>
            <w:t>TAYLOR, G. D., &amp; MEINERT, T. S. (2000). Improving the quality of operations in tru</w:t>
          </w:r>
          <w:r>
            <w:rPr>
              <w:noProof/>
            </w:rPr>
            <w:t xml:space="preserve">ckload trucking. </w:t>
          </w:r>
          <w:r>
            <w:rPr>
              <w:i/>
              <w:iCs/>
              <w:noProof/>
            </w:rPr>
            <w:t>IIE Transactions, 32</w:t>
          </w:r>
          <w:r>
            <w:rPr>
              <w:noProof/>
            </w:rPr>
            <w:t xml:space="preserve"> (6).</w:t>
          </w:r>
        </w:p>
        <w:p w:rsidR="00FA3096" w:rsidRDefault="00381100" w:rsidP="00FA3096">
          <w:pPr>
            <w:spacing w:line="480" w:lineRule="auto"/>
            <w:ind w:left="720" w:hanging="720"/>
          </w:pPr>
          <w:r>
            <w:rPr>
              <w:b/>
              <w:bCs/>
              <w:noProof/>
            </w:rPr>
            <w:fldChar w:fldCharType="end"/>
          </w:r>
        </w:p>
      </w:sdtContent>
    </w:sdt>
    <w:p w:rsidR="00FA3096" w:rsidRDefault="00FA3096" w:rsidP="00FA3096">
      <w:pPr>
        <w:spacing w:line="480" w:lineRule="auto"/>
        <w:ind w:left="720" w:hanging="720"/>
        <w:jc w:val="both"/>
      </w:pPr>
    </w:p>
    <w:p w:rsidR="00FA3096" w:rsidRPr="009202CB" w:rsidRDefault="00FA3096" w:rsidP="00192F80">
      <w:pPr>
        <w:spacing w:line="480" w:lineRule="auto"/>
        <w:jc w:val="both"/>
        <w:rPr>
          <w:rFonts w:ascii="Times New Roman" w:hAnsi="Times New Roman" w:cs="Times New Roman"/>
        </w:rPr>
      </w:pPr>
    </w:p>
    <w:sectPr w:rsidR="00FA3096" w:rsidRPr="009202CB" w:rsidSect="004F3E88">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1100">
      <w:r>
        <w:separator/>
      </w:r>
    </w:p>
  </w:endnote>
  <w:endnote w:type="continuationSeparator" w:id="0">
    <w:p w:rsidR="00000000" w:rsidRDefault="0038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1100">
      <w:r>
        <w:separator/>
      </w:r>
    </w:p>
  </w:footnote>
  <w:footnote w:type="continuationSeparator" w:id="0">
    <w:p w:rsidR="00000000" w:rsidRDefault="003811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68" w:rsidRDefault="00381100" w:rsidP="00C146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568" w:rsidRDefault="005F1568" w:rsidP="005B29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68" w:rsidRDefault="00381100" w:rsidP="00C146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F1568" w:rsidRDefault="00381100" w:rsidP="005B2986">
    <w:pPr>
      <w:pStyle w:val="Header"/>
      <w:ind w:right="360"/>
    </w:pPr>
    <w:r>
      <w:t>RUNNING HEAD: PHASE III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839"/>
    <w:multiLevelType w:val="hybridMultilevel"/>
    <w:tmpl w:val="B0E6DA5A"/>
    <w:lvl w:ilvl="0" w:tplc="B3AC4C14">
      <w:start w:val="1"/>
      <w:numFmt w:val="bullet"/>
      <w:lvlText w:val=""/>
      <w:lvlJc w:val="left"/>
      <w:pPr>
        <w:ind w:left="720" w:hanging="360"/>
      </w:pPr>
      <w:rPr>
        <w:rFonts w:ascii="Symbol" w:hAnsi="Symbol" w:hint="default"/>
      </w:rPr>
    </w:lvl>
    <w:lvl w:ilvl="1" w:tplc="286E61DC" w:tentative="1">
      <w:start w:val="1"/>
      <w:numFmt w:val="bullet"/>
      <w:lvlText w:val="o"/>
      <w:lvlJc w:val="left"/>
      <w:pPr>
        <w:ind w:left="1440" w:hanging="360"/>
      </w:pPr>
      <w:rPr>
        <w:rFonts w:ascii="Courier New" w:hAnsi="Courier New" w:hint="default"/>
      </w:rPr>
    </w:lvl>
    <w:lvl w:ilvl="2" w:tplc="A2B21DD6" w:tentative="1">
      <w:start w:val="1"/>
      <w:numFmt w:val="bullet"/>
      <w:lvlText w:val=""/>
      <w:lvlJc w:val="left"/>
      <w:pPr>
        <w:ind w:left="2160" w:hanging="360"/>
      </w:pPr>
      <w:rPr>
        <w:rFonts w:ascii="Wingdings" w:hAnsi="Wingdings" w:hint="default"/>
      </w:rPr>
    </w:lvl>
    <w:lvl w:ilvl="3" w:tplc="E2FC8D76" w:tentative="1">
      <w:start w:val="1"/>
      <w:numFmt w:val="bullet"/>
      <w:lvlText w:val=""/>
      <w:lvlJc w:val="left"/>
      <w:pPr>
        <w:ind w:left="2880" w:hanging="360"/>
      </w:pPr>
      <w:rPr>
        <w:rFonts w:ascii="Symbol" w:hAnsi="Symbol" w:hint="default"/>
      </w:rPr>
    </w:lvl>
    <w:lvl w:ilvl="4" w:tplc="733C2908" w:tentative="1">
      <w:start w:val="1"/>
      <w:numFmt w:val="bullet"/>
      <w:lvlText w:val="o"/>
      <w:lvlJc w:val="left"/>
      <w:pPr>
        <w:ind w:left="3600" w:hanging="360"/>
      </w:pPr>
      <w:rPr>
        <w:rFonts w:ascii="Courier New" w:hAnsi="Courier New" w:hint="default"/>
      </w:rPr>
    </w:lvl>
    <w:lvl w:ilvl="5" w:tplc="79227E2A" w:tentative="1">
      <w:start w:val="1"/>
      <w:numFmt w:val="bullet"/>
      <w:lvlText w:val=""/>
      <w:lvlJc w:val="left"/>
      <w:pPr>
        <w:ind w:left="4320" w:hanging="360"/>
      </w:pPr>
      <w:rPr>
        <w:rFonts w:ascii="Wingdings" w:hAnsi="Wingdings" w:hint="default"/>
      </w:rPr>
    </w:lvl>
    <w:lvl w:ilvl="6" w:tplc="97C0161C" w:tentative="1">
      <w:start w:val="1"/>
      <w:numFmt w:val="bullet"/>
      <w:lvlText w:val=""/>
      <w:lvlJc w:val="left"/>
      <w:pPr>
        <w:ind w:left="5040" w:hanging="360"/>
      </w:pPr>
      <w:rPr>
        <w:rFonts w:ascii="Symbol" w:hAnsi="Symbol" w:hint="default"/>
      </w:rPr>
    </w:lvl>
    <w:lvl w:ilvl="7" w:tplc="9BD22F32" w:tentative="1">
      <w:start w:val="1"/>
      <w:numFmt w:val="bullet"/>
      <w:lvlText w:val="o"/>
      <w:lvlJc w:val="left"/>
      <w:pPr>
        <w:ind w:left="5760" w:hanging="360"/>
      </w:pPr>
      <w:rPr>
        <w:rFonts w:ascii="Courier New" w:hAnsi="Courier New" w:hint="default"/>
      </w:rPr>
    </w:lvl>
    <w:lvl w:ilvl="8" w:tplc="DC041F5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86"/>
    <w:rsid w:val="0000049F"/>
    <w:rsid w:val="000179B2"/>
    <w:rsid w:val="00035E0A"/>
    <w:rsid w:val="00057077"/>
    <w:rsid w:val="000E3144"/>
    <w:rsid w:val="000E7F6B"/>
    <w:rsid w:val="001843BF"/>
    <w:rsid w:val="00192F80"/>
    <w:rsid w:val="00193638"/>
    <w:rsid w:val="001D7288"/>
    <w:rsid w:val="00253114"/>
    <w:rsid w:val="00271FDB"/>
    <w:rsid w:val="00286A9E"/>
    <w:rsid w:val="002E141E"/>
    <w:rsid w:val="002E7730"/>
    <w:rsid w:val="003579CD"/>
    <w:rsid w:val="00381100"/>
    <w:rsid w:val="003B0E59"/>
    <w:rsid w:val="0042311A"/>
    <w:rsid w:val="004917FF"/>
    <w:rsid w:val="004D3339"/>
    <w:rsid w:val="004F3E88"/>
    <w:rsid w:val="0054414B"/>
    <w:rsid w:val="005B2986"/>
    <w:rsid w:val="005B2B50"/>
    <w:rsid w:val="005D1E34"/>
    <w:rsid w:val="005F1568"/>
    <w:rsid w:val="0067049E"/>
    <w:rsid w:val="006C0A14"/>
    <w:rsid w:val="006D463F"/>
    <w:rsid w:val="00755C81"/>
    <w:rsid w:val="00776C0D"/>
    <w:rsid w:val="0079422C"/>
    <w:rsid w:val="008613BC"/>
    <w:rsid w:val="008F642A"/>
    <w:rsid w:val="009202CB"/>
    <w:rsid w:val="00930DD2"/>
    <w:rsid w:val="009D4F0A"/>
    <w:rsid w:val="009E6529"/>
    <w:rsid w:val="009F68F2"/>
    <w:rsid w:val="00A266CD"/>
    <w:rsid w:val="00AD5132"/>
    <w:rsid w:val="00AF483B"/>
    <w:rsid w:val="00B058B1"/>
    <w:rsid w:val="00B16D88"/>
    <w:rsid w:val="00B65CEE"/>
    <w:rsid w:val="00B854F8"/>
    <w:rsid w:val="00BD0826"/>
    <w:rsid w:val="00BD0B66"/>
    <w:rsid w:val="00BE2B15"/>
    <w:rsid w:val="00C14647"/>
    <w:rsid w:val="00C34557"/>
    <w:rsid w:val="00C80B21"/>
    <w:rsid w:val="00C824C6"/>
    <w:rsid w:val="00C976A0"/>
    <w:rsid w:val="00CB4C5D"/>
    <w:rsid w:val="00D7272A"/>
    <w:rsid w:val="00D82216"/>
    <w:rsid w:val="00E1079B"/>
    <w:rsid w:val="00EB409A"/>
    <w:rsid w:val="00F645F4"/>
    <w:rsid w:val="00F9785E"/>
    <w:rsid w:val="00FA3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9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986"/>
    <w:pPr>
      <w:tabs>
        <w:tab w:val="center" w:pos="4320"/>
        <w:tab w:val="right" w:pos="8640"/>
      </w:tabs>
    </w:pPr>
  </w:style>
  <w:style w:type="character" w:customStyle="1" w:styleId="HeaderChar">
    <w:name w:val="Header Char"/>
    <w:basedOn w:val="DefaultParagraphFont"/>
    <w:link w:val="Header"/>
    <w:uiPriority w:val="99"/>
    <w:rsid w:val="005B2986"/>
  </w:style>
  <w:style w:type="character" w:styleId="PageNumber">
    <w:name w:val="page number"/>
    <w:basedOn w:val="DefaultParagraphFont"/>
    <w:uiPriority w:val="99"/>
    <w:semiHidden/>
    <w:unhideWhenUsed/>
    <w:rsid w:val="005B2986"/>
  </w:style>
  <w:style w:type="paragraph" w:styleId="BalloonText">
    <w:name w:val="Balloon Text"/>
    <w:basedOn w:val="Normal"/>
    <w:link w:val="BalloonTextChar"/>
    <w:uiPriority w:val="99"/>
    <w:semiHidden/>
    <w:unhideWhenUsed/>
    <w:rsid w:val="00C14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647"/>
    <w:rPr>
      <w:rFonts w:ascii="Lucida Grande" w:hAnsi="Lucida Grande" w:cs="Lucida Grande"/>
      <w:sz w:val="18"/>
      <w:szCs w:val="18"/>
    </w:rPr>
  </w:style>
  <w:style w:type="character" w:customStyle="1" w:styleId="Heading1Char">
    <w:name w:val="Heading 1 Char"/>
    <w:basedOn w:val="DefaultParagraphFont"/>
    <w:link w:val="Heading1"/>
    <w:uiPriority w:val="9"/>
    <w:rsid w:val="000179B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179B2"/>
  </w:style>
  <w:style w:type="paragraph" w:styleId="ListParagraph">
    <w:name w:val="List Paragraph"/>
    <w:basedOn w:val="Normal"/>
    <w:uiPriority w:val="34"/>
    <w:qFormat/>
    <w:rsid w:val="009202CB"/>
    <w:pPr>
      <w:ind w:left="720"/>
      <w:contextualSpacing/>
    </w:pPr>
  </w:style>
  <w:style w:type="table" w:styleId="TableGrid">
    <w:name w:val="Table Grid"/>
    <w:basedOn w:val="TableNormal"/>
    <w:uiPriority w:val="59"/>
    <w:rsid w:val="00F64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D0B66"/>
    <w:pPr>
      <w:tabs>
        <w:tab w:val="center" w:pos="4320"/>
        <w:tab w:val="right" w:pos="8640"/>
      </w:tabs>
    </w:pPr>
  </w:style>
  <w:style w:type="character" w:customStyle="1" w:styleId="FooterChar">
    <w:name w:val="Footer Char"/>
    <w:basedOn w:val="DefaultParagraphFont"/>
    <w:link w:val="Footer"/>
    <w:uiPriority w:val="99"/>
    <w:rsid w:val="00BD0B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9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986"/>
    <w:pPr>
      <w:tabs>
        <w:tab w:val="center" w:pos="4320"/>
        <w:tab w:val="right" w:pos="8640"/>
      </w:tabs>
    </w:pPr>
  </w:style>
  <w:style w:type="character" w:customStyle="1" w:styleId="HeaderChar">
    <w:name w:val="Header Char"/>
    <w:basedOn w:val="DefaultParagraphFont"/>
    <w:link w:val="Header"/>
    <w:uiPriority w:val="99"/>
    <w:rsid w:val="005B2986"/>
  </w:style>
  <w:style w:type="character" w:styleId="PageNumber">
    <w:name w:val="page number"/>
    <w:basedOn w:val="DefaultParagraphFont"/>
    <w:uiPriority w:val="99"/>
    <w:semiHidden/>
    <w:unhideWhenUsed/>
    <w:rsid w:val="005B2986"/>
  </w:style>
  <w:style w:type="paragraph" w:styleId="BalloonText">
    <w:name w:val="Balloon Text"/>
    <w:basedOn w:val="Normal"/>
    <w:link w:val="BalloonTextChar"/>
    <w:uiPriority w:val="99"/>
    <w:semiHidden/>
    <w:unhideWhenUsed/>
    <w:rsid w:val="00C14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647"/>
    <w:rPr>
      <w:rFonts w:ascii="Lucida Grande" w:hAnsi="Lucida Grande" w:cs="Lucida Grande"/>
      <w:sz w:val="18"/>
      <w:szCs w:val="18"/>
    </w:rPr>
  </w:style>
  <w:style w:type="character" w:customStyle="1" w:styleId="Heading1Char">
    <w:name w:val="Heading 1 Char"/>
    <w:basedOn w:val="DefaultParagraphFont"/>
    <w:link w:val="Heading1"/>
    <w:uiPriority w:val="9"/>
    <w:rsid w:val="000179B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179B2"/>
  </w:style>
  <w:style w:type="paragraph" w:styleId="ListParagraph">
    <w:name w:val="List Paragraph"/>
    <w:basedOn w:val="Normal"/>
    <w:uiPriority w:val="34"/>
    <w:qFormat/>
    <w:rsid w:val="009202CB"/>
    <w:pPr>
      <w:ind w:left="720"/>
      <w:contextualSpacing/>
    </w:pPr>
  </w:style>
  <w:style w:type="table" w:styleId="TableGrid">
    <w:name w:val="Table Grid"/>
    <w:basedOn w:val="TableNormal"/>
    <w:uiPriority w:val="59"/>
    <w:rsid w:val="00F64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D0B66"/>
    <w:pPr>
      <w:tabs>
        <w:tab w:val="center" w:pos="4320"/>
        <w:tab w:val="right" w:pos="8640"/>
      </w:tabs>
    </w:pPr>
  </w:style>
  <w:style w:type="character" w:customStyle="1" w:styleId="FooterChar">
    <w:name w:val="Footer Char"/>
    <w:basedOn w:val="DefaultParagraphFont"/>
    <w:link w:val="Footer"/>
    <w:uiPriority w:val="99"/>
    <w:rsid w:val="00BD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876786-D8BF-5643-9C21-76ABFB277B8A}" type="doc">
      <dgm:prSet loTypeId="urn:microsoft.com/office/officeart/2005/8/layout/cycle6#1" qsTypeId="urn:microsoft.com/office/officeart/2005/8/quickstyle/simple4" qsCatId="simple" csTypeId="urn:microsoft.com/office/officeart/2005/8/colors/colorful2" csCatId="colorful" phldr="1"/>
      <dgm:spPr/>
      <dgm:t>
        <a:bodyPr/>
        <a:lstStyle/>
        <a:p>
          <a:endParaRPr lang="en-US"/>
        </a:p>
      </dgm:t>
    </dgm:pt>
    <dgm:pt modelId="{90DB30B6-0B01-F442-817B-F60C98FA13F6}">
      <dgm:prSet phldrT="[Text]"/>
      <dgm:spPr/>
      <dgm:t>
        <a:bodyPr/>
        <a:lstStyle/>
        <a:p>
          <a:r>
            <a:rPr lang="en-US">
              <a:solidFill>
                <a:schemeClr val="tx1"/>
              </a:solidFill>
            </a:rPr>
            <a:t>Efficient</a:t>
          </a:r>
        </a:p>
      </dgm:t>
    </dgm:pt>
    <dgm:pt modelId="{91AC92E3-E6BD-A54E-B8DD-8370B384093E}" type="parTrans" cxnId="{A49877C6-DFD8-724C-8E96-432A30DFF9E3}">
      <dgm:prSet/>
      <dgm:spPr/>
      <dgm:t>
        <a:bodyPr/>
        <a:lstStyle/>
        <a:p>
          <a:endParaRPr lang="en-US">
            <a:solidFill>
              <a:schemeClr val="tx1"/>
            </a:solidFill>
          </a:endParaRPr>
        </a:p>
      </dgm:t>
    </dgm:pt>
    <dgm:pt modelId="{C0C57916-7563-0B41-9736-66BB2B96393E}" type="sibTrans" cxnId="{A49877C6-DFD8-724C-8E96-432A30DFF9E3}">
      <dgm:prSet/>
      <dgm:spPr/>
      <dgm:t>
        <a:bodyPr/>
        <a:lstStyle/>
        <a:p>
          <a:endParaRPr lang="en-US">
            <a:solidFill>
              <a:schemeClr val="tx1"/>
            </a:solidFill>
          </a:endParaRPr>
        </a:p>
      </dgm:t>
    </dgm:pt>
    <dgm:pt modelId="{C6E8F5E2-741C-874C-AA3F-2766C7F20A9B}">
      <dgm:prSet phldrT="[Text]"/>
      <dgm:spPr/>
      <dgm:t>
        <a:bodyPr/>
        <a:lstStyle/>
        <a:p>
          <a:r>
            <a:rPr lang="en-US">
              <a:solidFill>
                <a:schemeClr val="tx1"/>
              </a:solidFill>
            </a:rPr>
            <a:t>Compeling</a:t>
          </a:r>
        </a:p>
      </dgm:t>
    </dgm:pt>
    <dgm:pt modelId="{953B3070-CC1C-5D49-B541-09566148EA2E}" type="parTrans" cxnId="{EFE4F99B-3B96-6343-98FB-64C97DAA6917}">
      <dgm:prSet/>
      <dgm:spPr/>
      <dgm:t>
        <a:bodyPr/>
        <a:lstStyle/>
        <a:p>
          <a:endParaRPr lang="en-US">
            <a:solidFill>
              <a:schemeClr val="tx1"/>
            </a:solidFill>
          </a:endParaRPr>
        </a:p>
      </dgm:t>
    </dgm:pt>
    <dgm:pt modelId="{CA515F8B-5EA8-5B4F-9861-36EF28732539}" type="sibTrans" cxnId="{EFE4F99B-3B96-6343-98FB-64C97DAA6917}">
      <dgm:prSet/>
      <dgm:spPr/>
      <dgm:t>
        <a:bodyPr/>
        <a:lstStyle/>
        <a:p>
          <a:endParaRPr lang="en-US">
            <a:solidFill>
              <a:schemeClr val="tx1"/>
            </a:solidFill>
          </a:endParaRPr>
        </a:p>
      </dgm:t>
    </dgm:pt>
    <dgm:pt modelId="{48A5C56E-E4C7-0A48-8FDF-78E545F62474}">
      <dgm:prSet phldrT="[Text]"/>
      <dgm:spPr/>
      <dgm:t>
        <a:bodyPr/>
        <a:lstStyle/>
        <a:p>
          <a:r>
            <a:rPr lang="en-US">
              <a:solidFill>
                <a:schemeClr val="tx1"/>
              </a:solidFill>
            </a:rPr>
            <a:t>Differentiated </a:t>
          </a:r>
        </a:p>
      </dgm:t>
    </dgm:pt>
    <dgm:pt modelId="{624FB9B8-30A7-8140-B534-7BA61880D033}" type="parTrans" cxnId="{2412008E-8C30-1143-858E-2B10B2CEFAC8}">
      <dgm:prSet/>
      <dgm:spPr/>
      <dgm:t>
        <a:bodyPr/>
        <a:lstStyle/>
        <a:p>
          <a:endParaRPr lang="en-US">
            <a:solidFill>
              <a:schemeClr val="tx1"/>
            </a:solidFill>
          </a:endParaRPr>
        </a:p>
      </dgm:t>
    </dgm:pt>
    <dgm:pt modelId="{C38F1F78-E3E8-2941-9F8E-A7BCE2BC8CB7}" type="sibTrans" cxnId="{2412008E-8C30-1143-858E-2B10B2CEFAC8}">
      <dgm:prSet/>
      <dgm:spPr/>
      <dgm:t>
        <a:bodyPr/>
        <a:lstStyle/>
        <a:p>
          <a:endParaRPr lang="en-US">
            <a:solidFill>
              <a:schemeClr val="tx1"/>
            </a:solidFill>
          </a:endParaRPr>
        </a:p>
      </dgm:t>
    </dgm:pt>
    <dgm:pt modelId="{AAD3D1B0-B19B-0742-81B4-B5E3B693D4AC}">
      <dgm:prSet phldrT="[Text]"/>
      <dgm:spPr/>
      <dgm:t>
        <a:bodyPr/>
        <a:lstStyle/>
        <a:p>
          <a:r>
            <a:rPr lang="en-US">
              <a:solidFill>
                <a:schemeClr val="tx1"/>
              </a:solidFill>
            </a:rPr>
            <a:t>Sustainable</a:t>
          </a:r>
        </a:p>
      </dgm:t>
    </dgm:pt>
    <dgm:pt modelId="{2DA913AA-8AE0-3D49-AEDE-7362AC1CFB09}" type="parTrans" cxnId="{DFE4771B-CEC2-5D4F-AD5F-9D56E69A36C3}">
      <dgm:prSet/>
      <dgm:spPr/>
      <dgm:t>
        <a:bodyPr/>
        <a:lstStyle/>
        <a:p>
          <a:endParaRPr lang="en-US">
            <a:solidFill>
              <a:schemeClr val="tx1"/>
            </a:solidFill>
          </a:endParaRPr>
        </a:p>
      </dgm:t>
    </dgm:pt>
    <dgm:pt modelId="{0E4A8D27-48FA-C946-85EF-623333E45C60}" type="sibTrans" cxnId="{DFE4771B-CEC2-5D4F-AD5F-9D56E69A36C3}">
      <dgm:prSet/>
      <dgm:spPr/>
      <dgm:t>
        <a:bodyPr/>
        <a:lstStyle/>
        <a:p>
          <a:endParaRPr lang="en-US">
            <a:solidFill>
              <a:schemeClr val="tx1"/>
            </a:solidFill>
          </a:endParaRPr>
        </a:p>
      </dgm:t>
    </dgm:pt>
    <dgm:pt modelId="{3A7F08ED-F309-9C4C-8271-150E8B8B93F4}">
      <dgm:prSet phldrT="[Text]"/>
      <dgm:spPr/>
      <dgm:t>
        <a:bodyPr/>
        <a:lstStyle/>
        <a:p>
          <a:r>
            <a:rPr lang="en-US">
              <a:solidFill>
                <a:schemeClr val="tx1"/>
              </a:solidFill>
            </a:rPr>
            <a:t>Globally scalable</a:t>
          </a:r>
        </a:p>
      </dgm:t>
    </dgm:pt>
    <dgm:pt modelId="{420405BE-9A30-604F-9775-E3933C392657}" type="parTrans" cxnId="{8836732E-F0E9-1A4F-A6AD-BD9D054359FE}">
      <dgm:prSet/>
      <dgm:spPr/>
      <dgm:t>
        <a:bodyPr/>
        <a:lstStyle/>
        <a:p>
          <a:endParaRPr lang="en-US">
            <a:solidFill>
              <a:schemeClr val="tx1"/>
            </a:solidFill>
          </a:endParaRPr>
        </a:p>
      </dgm:t>
    </dgm:pt>
    <dgm:pt modelId="{A807ECD0-F215-FF40-8EDB-4B2335A43E02}" type="sibTrans" cxnId="{8836732E-F0E9-1A4F-A6AD-BD9D054359FE}">
      <dgm:prSet/>
      <dgm:spPr/>
      <dgm:t>
        <a:bodyPr/>
        <a:lstStyle/>
        <a:p>
          <a:endParaRPr lang="en-US">
            <a:solidFill>
              <a:schemeClr val="tx1"/>
            </a:solidFill>
          </a:endParaRPr>
        </a:p>
      </dgm:t>
    </dgm:pt>
    <dgm:pt modelId="{156BC5F0-5620-8D42-B105-94143AD3BFC4}" type="pres">
      <dgm:prSet presAssocID="{79876786-D8BF-5643-9C21-76ABFB277B8A}" presName="cycle" presStyleCnt="0">
        <dgm:presLayoutVars>
          <dgm:dir/>
          <dgm:resizeHandles val="exact"/>
        </dgm:presLayoutVars>
      </dgm:prSet>
      <dgm:spPr/>
      <dgm:t>
        <a:bodyPr/>
        <a:lstStyle/>
        <a:p>
          <a:endParaRPr lang="en-US"/>
        </a:p>
      </dgm:t>
    </dgm:pt>
    <dgm:pt modelId="{E75AD322-BB8F-D84C-A0EF-A960E6C13DBF}" type="pres">
      <dgm:prSet presAssocID="{90DB30B6-0B01-F442-817B-F60C98FA13F6}" presName="node" presStyleLbl="node1" presStyleIdx="0" presStyleCnt="5">
        <dgm:presLayoutVars>
          <dgm:bulletEnabled val="1"/>
        </dgm:presLayoutVars>
      </dgm:prSet>
      <dgm:spPr/>
      <dgm:t>
        <a:bodyPr/>
        <a:lstStyle/>
        <a:p>
          <a:endParaRPr lang="en-US"/>
        </a:p>
      </dgm:t>
    </dgm:pt>
    <dgm:pt modelId="{2FA0149D-B36D-4C4B-8A1B-0AB1DB46F92C}" type="pres">
      <dgm:prSet presAssocID="{90DB30B6-0B01-F442-817B-F60C98FA13F6}" presName="spNode" presStyleCnt="0"/>
      <dgm:spPr/>
    </dgm:pt>
    <dgm:pt modelId="{9F418E1F-ECEF-4648-BFB4-47135A0E1FD5}" type="pres">
      <dgm:prSet presAssocID="{C0C57916-7563-0B41-9736-66BB2B96393E}" presName="sibTrans" presStyleLbl="sibTrans1D1" presStyleIdx="0" presStyleCnt="5"/>
      <dgm:spPr/>
      <dgm:t>
        <a:bodyPr/>
        <a:lstStyle/>
        <a:p>
          <a:endParaRPr lang="en-US"/>
        </a:p>
      </dgm:t>
    </dgm:pt>
    <dgm:pt modelId="{F6C70743-627E-E94B-A609-DF90AAD1E579}" type="pres">
      <dgm:prSet presAssocID="{C6E8F5E2-741C-874C-AA3F-2766C7F20A9B}" presName="node" presStyleLbl="node1" presStyleIdx="1" presStyleCnt="5">
        <dgm:presLayoutVars>
          <dgm:bulletEnabled val="1"/>
        </dgm:presLayoutVars>
      </dgm:prSet>
      <dgm:spPr/>
      <dgm:t>
        <a:bodyPr/>
        <a:lstStyle/>
        <a:p>
          <a:endParaRPr lang="en-US"/>
        </a:p>
      </dgm:t>
    </dgm:pt>
    <dgm:pt modelId="{8D32B17D-C1BA-784F-B9BE-44498F754E37}" type="pres">
      <dgm:prSet presAssocID="{C6E8F5E2-741C-874C-AA3F-2766C7F20A9B}" presName="spNode" presStyleCnt="0"/>
      <dgm:spPr/>
    </dgm:pt>
    <dgm:pt modelId="{C20B0D26-8DF5-3E4F-861C-CB0F18FAD7D2}" type="pres">
      <dgm:prSet presAssocID="{CA515F8B-5EA8-5B4F-9861-36EF28732539}" presName="sibTrans" presStyleLbl="sibTrans1D1" presStyleIdx="1" presStyleCnt="5"/>
      <dgm:spPr/>
      <dgm:t>
        <a:bodyPr/>
        <a:lstStyle/>
        <a:p>
          <a:endParaRPr lang="en-US"/>
        </a:p>
      </dgm:t>
    </dgm:pt>
    <dgm:pt modelId="{7D1F9A84-4496-934E-9FF7-25F44AA2A975}" type="pres">
      <dgm:prSet presAssocID="{48A5C56E-E4C7-0A48-8FDF-78E545F62474}" presName="node" presStyleLbl="node1" presStyleIdx="2" presStyleCnt="5">
        <dgm:presLayoutVars>
          <dgm:bulletEnabled val="1"/>
        </dgm:presLayoutVars>
      </dgm:prSet>
      <dgm:spPr/>
      <dgm:t>
        <a:bodyPr/>
        <a:lstStyle/>
        <a:p>
          <a:endParaRPr lang="en-US"/>
        </a:p>
      </dgm:t>
    </dgm:pt>
    <dgm:pt modelId="{D4E5813B-B560-F443-A79B-795BDB3478C2}" type="pres">
      <dgm:prSet presAssocID="{48A5C56E-E4C7-0A48-8FDF-78E545F62474}" presName="spNode" presStyleCnt="0"/>
      <dgm:spPr/>
    </dgm:pt>
    <dgm:pt modelId="{AA5D1638-D32B-2844-82C9-9305A04303CF}" type="pres">
      <dgm:prSet presAssocID="{C38F1F78-E3E8-2941-9F8E-A7BCE2BC8CB7}" presName="sibTrans" presStyleLbl="sibTrans1D1" presStyleIdx="2" presStyleCnt="5"/>
      <dgm:spPr/>
      <dgm:t>
        <a:bodyPr/>
        <a:lstStyle/>
        <a:p>
          <a:endParaRPr lang="en-US"/>
        </a:p>
      </dgm:t>
    </dgm:pt>
    <dgm:pt modelId="{2A9D1865-FDA5-AA44-A752-5D1574CC807A}" type="pres">
      <dgm:prSet presAssocID="{AAD3D1B0-B19B-0742-81B4-B5E3B693D4AC}" presName="node" presStyleLbl="node1" presStyleIdx="3" presStyleCnt="5">
        <dgm:presLayoutVars>
          <dgm:bulletEnabled val="1"/>
        </dgm:presLayoutVars>
      </dgm:prSet>
      <dgm:spPr/>
      <dgm:t>
        <a:bodyPr/>
        <a:lstStyle/>
        <a:p>
          <a:endParaRPr lang="en-US"/>
        </a:p>
      </dgm:t>
    </dgm:pt>
    <dgm:pt modelId="{9D5118B2-A90E-C742-A6FD-567CF06CFA86}" type="pres">
      <dgm:prSet presAssocID="{AAD3D1B0-B19B-0742-81B4-B5E3B693D4AC}" presName="spNode" presStyleCnt="0"/>
      <dgm:spPr/>
    </dgm:pt>
    <dgm:pt modelId="{A5139593-295D-3445-8F3B-D2B5302824BD}" type="pres">
      <dgm:prSet presAssocID="{0E4A8D27-48FA-C946-85EF-623333E45C60}" presName="sibTrans" presStyleLbl="sibTrans1D1" presStyleIdx="3" presStyleCnt="5"/>
      <dgm:spPr/>
      <dgm:t>
        <a:bodyPr/>
        <a:lstStyle/>
        <a:p>
          <a:endParaRPr lang="en-US"/>
        </a:p>
      </dgm:t>
    </dgm:pt>
    <dgm:pt modelId="{7B3B2A89-49CE-5142-B80C-C8F40282FE31}" type="pres">
      <dgm:prSet presAssocID="{3A7F08ED-F309-9C4C-8271-150E8B8B93F4}" presName="node" presStyleLbl="node1" presStyleIdx="4" presStyleCnt="5">
        <dgm:presLayoutVars>
          <dgm:bulletEnabled val="1"/>
        </dgm:presLayoutVars>
      </dgm:prSet>
      <dgm:spPr/>
      <dgm:t>
        <a:bodyPr/>
        <a:lstStyle/>
        <a:p>
          <a:endParaRPr lang="en-US"/>
        </a:p>
      </dgm:t>
    </dgm:pt>
    <dgm:pt modelId="{77624FDA-E154-414C-8098-A2C1E9D7F32E}" type="pres">
      <dgm:prSet presAssocID="{3A7F08ED-F309-9C4C-8271-150E8B8B93F4}" presName="spNode" presStyleCnt="0"/>
      <dgm:spPr/>
    </dgm:pt>
    <dgm:pt modelId="{3C8DE48D-99DB-9846-AEC8-5EB43486B7AD}" type="pres">
      <dgm:prSet presAssocID="{A807ECD0-F215-FF40-8EDB-4B2335A43E02}" presName="sibTrans" presStyleLbl="sibTrans1D1" presStyleIdx="4" presStyleCnt="5"/>
      <dgm:spPr/>
      <dgm:t>
        <a:bodyPr/>
        <a:lstStyle/>
        <a:p>
          <a:endParaRPr lang="en-US"/>
        </a:p>
      </dgm:t>
    </dgm:pt>
  </dgm:ptLst>
  <dgm:cxnLst>
    <dgm:cxn modelId="{847897C3-4965-F241-8E2B-46A1163FBAB6}" type="presOf" srcId="{90DB30B6-0B01-F442-817B-F60C98FA13F6}" destId="{E75AD322-BB8F-D84C-A0EF-A960E6C13DBF}" srcOrd="0" destOrd="0" presId="urn:microsoft.com/office/officeart/2005/8/layout/cycle6#1"/>
    <dgm:cxn modelId="{BF794FDB-8E18-A849-B55D-984DE73C131D}" type="presOf" srcId="{48A5C56E-E4C7-0A48-8FDF-78E545F62474}" destId="{7D1F9A84-4496-934E-9FF7-25F44AA2A975}" srcOrd="0" destOrd="0" presId="urn:microsoft.com/office/officeart/2005/8/layout/cycle6#1"/>
    <dgm:cxn modelId="{BAABED2A-1054-F04B-B3BE-B6E20619DC57}" type="presOf" srcId="{0E4A8D27-48FA-C946-85EF-623333E45C60}" destId="{A5139593-295D-3445-8F3B-D2B5302824BD}" srcOrd="0" destOrd="0" presId="urn:microsoft.com/office/officeart/2005/8/layout/cycle6#1"/>
    <dgm:cxn modelId="{2412008E-8C30-1143-858E-2B10B2CEFAC8}" srcId="{79876786-D8BF-5643-9C21-76ABFB277B8A}" destId="{48A5C56E-E4C7-0A48-8FDF-78E545F62474}" srcOrd="2" destOrd="0" parTransId="{624FB9B8-30A7-8140-B534-7BA61880D033}" sibTransId="{C38F1F78-E3E8-2941-9F8E-A7BCE2BC8CB7}"/>
    <dgm:cxn modelId="{99438A29-368D-9042-A121-2EF3B7403CCC}" type="presOf" srcId="{C0C57916-7563-0B41-9736-66BB2B96393E}" destId="{9F418E1F-ECEF-4648-BFB4-47135A0E1FD5}" srcOrd="0" destOrd="0" presId="urn:microsoft.com/office/officeart/2005/8/layout/cycle6#1"/>
    <dgm:cxn modelId="{6C7B8761-EF0D-1B45-A88F-81FD6A613926}" type="presOf" srcId="{A807ECD0-F215-FF40-8EDB-4B2335A43E02}" destId="{3C8DE48D-99DB-9846-AEC8-5EB43486B7AD}" srcOrd="0" destOrd="0" presId="urn:microsoft.com/office/officeart/2005/8/layout/cycle6#1"/>
    <dgm:cxn modelId="{A4A5EF71-26C7-E442-A0E5-C094EC824B9D}" type="presOf" srcId="{C38F1F78-E3E8-2941-9F8E-A7BCE2BC8CB7}" destId="{AA5D1638-D32B-2844-82C9-9305A04303CF}" srcOrd="0" destOrd="0" presId="urn:microsoft.com/office/officeart/2005/8/layout/cycle6#1"/>
    <dgm:cxn modelId="{9CAD0849-94B5-4948-AB64-E1E1651F8F58}" type="presOf" srcId="{3A7F08ED-F309-9C4C-8271-150E8B8B93F4}" destId="{7B3B2A89-49CE-5142-B80C-C8F40282FE31}" srcOrd="0" destOrd="0" presId="urn:microsoft.com/office/officeart/2005/8/layout/cycle6#1"/>
    <dgm:cxn modelId="{2E2AC204-31A2-B742-AFF4-8CEC6E91E585}" type="presOf" srcId="{C6E8F5E2-741C-874C-AA3F-2766C7F20A9B}" destId="{F6C70743-627E-E94B-A609-DF90AAD1E579}" srcOrd="0" destOrd="0" presId="urn:microsoft.com/office/officeart/2005/8/layout/cycle6#1"/>
    <dgm:cxn modelId="{8836732E-F0E9-1A4F-A6AD-BD9D054359FE}" srcId="{79876786-D8BF-5643-9C21-76ABFB277B8A}" destId="{3A7F08ED-F309-9C4C-8271-150E8B8B93F4}" srcOrd="4" destOrd="0" parTransId="{420405BE-9A30-604F-9775-E3933C392657}" sibTransId="{A807ECD0-F215-FF40-8EDB-4B2335A43E02}"/>
    <dgm:cxn modelId="{DB65BBF3-7B98-FB4F-9FFB-5EA348013B3C}" type="presOf" srcId="{79876786-D8BF-5643-9C21-76ABFB277B8A}" destId="{156BC5F0-5620-8D42-B105-94143AD3BFC4}" srcOrd="0" destOrd="0" presId="urn:microsoft.com/office/officeart/2005/8/layout/cycle6#1"/>
    <dgm:cxn modelId="{A49877C6-DFD8-724C-8E96-432A30DFF9E3}" srcId="{79876786-D8BF-5643-9C21-76ABFB277B8A}" destId="{90DB30B6-0B01-F442-817B-F60C98FA13F6}" srcOrd="0" destOrd="0" parTransId="{91AC92E3-E6BD-A54E-B8DD-8370B384093E}" sibTransId="{C0C57916-7563-0B41-9736-66BB2B96393E}"/>
    <dgm:cxn modelId="{3367CD07-777B-0749-9B5F-358B1156FC85}" type="presOf" srcId="{CA515F8B-5EA8-5B4F-9861-36EF28732539}" destId="{C20B0D26-8DF5-3E4F-861C-CB0F18FAD7D2}" srcOrd="0" destOrd="0" presId="urn:microsoft.com/office/officeart/2005/8/layout/cycle6#1"/>
    <dgm:cxn modelId="{EFE4F99B-3B96-6343-98FB-64C97DAA6917}" srcId="{79876786-D8BF-5643-9C21-76ABFB277B8A}" destId="{C6E8F5E2-741C-874C-AA3F-2766C7F20A9B}" srcOrd="1" destOrd="0" parTransId="{953B3070-CC1C-5D49-B541-09566148EA2E}" sibTransId="{CA515F8B-5EA8-5B4F-9861-36EF28732539}"/>
    <dgm:cxn modelId="{DFE4771B-CEC2-5D4F-AD5F-9D56E69A36C3}" srcId="{79876786-D8BF-5643-9C21-76ABFB277B8A}" destId="{AAD3D1B0-B19B-0742-81B4-B5E3B693D4AC}" srcOrd="3" destOrd="0" parTransId="{2DA913AA-8AE0-3D49-AEDE-7362AC1CFB09}" sibTransId="{0E4A8D27-48FA-C946-85EF-623333E45C60}"/>
    <dgm:cxn modelId="{1342EF92-3DC4-B84B-A451-2B9861889B5D}" type="presOf" srcId="{AAD3D1B0-B19B-0742-81B4-B5E3B693D4AC}" destId="{2A9D1865-FDA5-AA44-A752-5D1574CC807A}" srcOrd="0" destOrd="0" presId="urn:microsoft.com/office/officeart/2005/8/layout/cycle6#1"/>
    <dgm:cxn modelId="{975420B8-E487-FF4A-9676-114E5F71D0C4}" type="presParOf" srcId="{156BC5F0-5620-8D42-B105-94143AD3BFC4}" destId="{E75AD322-BB8F-D84C-A0EF-A960E6C13DBF}" srcOrd="0" destOrd="0" presId="urn:microsoft.com/office/officeart/2005/8/layout/cycle6#1"/>
    <dgm:cxn modelId="{D479F21B-0991-984B-B490-85BD1B40DC4F}" type="presParOf" srcId="{156BC5F0-5620-8D42-B105-94143AD3BFC4}" destId="{2FA0149D-B36D-4C4B-8A1B-0AB1DB46F92C}" srcOrd="1" destOrd="0" presId="urn:microsoft.com/office/officeart/2005/8/layout/cycle6#1"/>
    <dgm:cxn modelId="{CD8D1539-2BD2-C444-9669-B8DC85E9640F}" type="presParOf" srcId="{156BC5F0-5620-8D42-B105-94143AD3BFC4}" destId="{9F418E1F-ECEF-4648-BFB4-47135A0E1FD5}" srcOrd="2" destOrd="0" presId="urn:microsoft.com/office/officeart/2005/8/layout/cycle6#1"/>
    <dgm:cxn modelId="{7C26E66B-5D74-D64D-BFD8-3E3C2F24A21D}" type="presParOf" srcId="{156BC5F0-5620-8D42-B105-94143AD3BFC4}" destId="{F6C70743-627E-E94B-A609-DF90AAD1E579}" srcOrd="3" destOrd="0" presId="urn:microsoft.com/office/officeart/2005/8/layout/cycle6#1"/>
    <dgm:cxn modelId="{DB8C70E4-DC30-9B4F-97E6-9687A0485419}" type="presParOf" srcId="{156BC5F0-5620-8D42-B105-94143AD3BFC4}" destId="{8D32B17D-C1BA-784F-B9BE-44498F754E37}" srcOrd="4" destOrd="0" presId="urn:microsoft.com/office/officeart/2005/8/layout/cycle6#1"/>
    <dgm:cxn modelId="{39792D29-8545-2F46-A821-7B5E52791AD4}" type="presParOf" srcId="{156BC5F0-5620-8D42-B105-94143AD3BFC4}" destId="{C20B0D26-8DF5-3E4F-861C-CB0F18FAD7D2}" srcOrd="5" destOrd="0" presId="urn:microsoft.com/office/officeart/2005/8/layout/cycle6#1"/>
    <dgm:cxn modelId="{D156BBCC-598B-2A4C-B001-B82D6EA7C475}" type="presParOf" srcId="{156BC5F0-5620-8D42-B105-94143AD3BFC4}" destId="{7D1F9A84-4496-934E-9FF7-25F44AA2A975}" srcOrd="6" destOrd="0" presId="urn:microsoft.com/office/officeart/2005/8/layout/cycle6#1"/>
    <dgm:cxn modelId="{257D778C-BB7D-2347-BC42-77CB90E17BFC}" type="presParOf" srcId="{156BC5F0-5620-8D42-B105-94143AD3BFC4}" destId="{D4E5813B-B560-F443-A79B-795BDB3478C2}" srcOrd="7" destOrd="0" presId="urn:microsoft.com/office/officeart/2005/8/layout/cycle6#1"/>
    <dgm:cxn modelId="{10539F91-4100-3F4E-9033-C9BE251D2E51}" type="presParOf" srcId="{156BC5F0-5620-8D42-B105-94143AD3BFC4}" destId="{AA5D1638-D32B-2844-82C9-9305A04303CF}" srcOrd="8" destOrd="0" presId="urn:microsoft.com/office/officeart/2005/8/layout/cycle6#1"/>
    <dgm:cxn modelId="{F7848D7A-9ECF-1A4D-BB29-A77EE1A72509}" type="presParOf" srcId="{156BC5F0-5620-8D42-B105-94143AD3BFC4}" destId="{2A9D1865-FDA5-AA44-A752-5D1574CC807A}" srcOrd="9" destOrd="0" presId="urn:microsoft.com/office/officeart/2005/8/layout/cycle6#1"/>
    <dgm:cxn modelId="{70904BAC-C8E0-8749-A525-88B8839BD138}" type="presParOf" srcId="{156BC5F0-5620-8D42-B105-94143AD3BFC4}" destId="{9D5118B2-A90E-C742-A6FD-567CF06CFA86}" srcOrd="10" destOrd="0" presId="urn:microsoft.com/office/officeart/2005/8/layout/cycle6#1"/>
    <dgm:cxn modelId="{937CC244-B305-B641-AFCD-EB2DE509034B}" type="presParOf" srcId="{156BC5F0-5620-8D42-B105-94143AD3BFC4}" destId="{A5139593-295D-3445-8F3B-D2B5302824BD}" srcOrd="11" destOrd="0" presId="urn:microsoft.com/office/officeart/2005/8/layout/cycle6#1"/>
    <dgm:cxn modelId="{C13D10C9-BFF5-9C45-A39C-954527D3BA1C}" type="presParOf" srcId="{156BC5F0-5620-8D42-B105-94143AD3BFC4}" destId="{7B3B2A89-49CE-5142-B80C-C8F40282FE31}" srcOrd="12" destOrd="0" presId="urn:microsoft.com/office/officeart/2005/8/layout/cycle6#1"/>
    <dgm:cxn modelId="{56B39F38-4579-E548-8BA9-12C1460FD1E9}" type="presParOf" srcId="{156BC5F0-5620-8D42-B105-94143AD3BFC4}" destId="{77624FDA-E154-414C-8098-A2C1E9D7F32E}" srcOrd="13" destOrd="0" presId="urn:microsoft.com/office/officeart/2005/8/layout/cycle6#1"/>
    <dgm:cxn modelId="{1F309642-1554-E645-893A-3FFC3C578276}" type="presParOf" srcId="{156BC5F0-5620-8D42-B105-94143AD3BFC4}" destId="{3C8DE48D-99DB-9846-AEC8-5EB43486B7AD}" srcOrd="14" destOrd="0" presId="urn:microsoft.com/office/officeart/2005/8/layout/cycle6#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AD322-BB8F-D84C-A0EF-A960E6C13DBF}">
      <dsp:nvSpPr>
        <dsp:cNvPr id="0" name=""/>
        <dsp:cNvSpPr/>
      </dsp:nvSpPr>
      <dsp:spPr>
        <a:xfrm>
          <a:off x="2218134" y="1154"/>
          <a:ext cx="1050131" cy="682585"/>
        </a:xfrm>
        <a:prstGeom prst="round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Efficient</a:t>
          </a:r>
        </a:p>
      </dsp:txBody>
      <dsp:txXfrm>
        <a:off x="2251455" y="34475"/>
        <a:ext cx="983489" cy="615943"/>
      </dsp:txXfrm>
    </dsp:sp>
    <dsp:sp modelId="{9F418E1F-ECEF-4648-BFB4-47135A0E1FD5}">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C70743-627E-E94B-A609-DF90AAD1E579}">
      <dsp:nvSpPr>
        <dsp:cNvPr id="0" name=""/>
        <dsp:cNvSpPr/>
      </dsp:nvSpPr>
      <dsp:spPr>
        <a:xfrm>
          <a:off x="3516699" y="944616"/>
          <a:ext cx="1050131" cy="682585"/>
        </a:xfrm>
        <a:prstGeom prst="roundRect">
          <a:avLst/>
        </a:prstGeom>
        <a:gradFill rotWithShape="0">
          <a:gsLst>
            <a:gs pos="0">
              <a:schemeClr val="accent2">
                <a:hueOff val="1170380"/>
                <a:satOff val="-1460"/>
                <a:lumOff val="343"/>
                <a:alphaOff val="0"/>
                <a:tint val="100000"/>
                <a:shade val="100000"/>
                <a:satMod val="130000"/>
              </a:schemeClr>
            </a:gs>
            <a:gs pos="100000">
              <a:schemeClr val="accent2">
                <a:hueOff val="1170380"/>
                <a:satOff val="-1460"/>
                <a:lumOff val="34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Compeling</a:t>
          </a:r>
        </a:p>
      </dsp:txBody>
      <dsp:txXfrm>
        <a:off x="3550020" y="977937"/>
        <a:ext cx="983489" cy="615943"/>
      </dsp:txXfrm>
    </dsp:sp>
    <dsp:sp modelId="{C20B0D26-8DF5-3E4F-861C-CB0F18FAD7D2}">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9525" cap="flat" cmpd="sng" algn="ctr">
          <a:solidFill>
            <a:schemeClr val="accent2">
              <a:hueOff val="1170380"/>
              <a:satOff val="-1460"/>
              <a:lumOff val="343"/>
              <a:alphaOff val="0"/>
            </a:schemeClr>
          </a:solidFill>
          <a:prstDash val="solid"/>
        </a:ln>
        <a:effectLst/>
      </dsp:spPr>
      <dsp:style>
        <a:lnRef idx="1">
          <a:scrgbClr r="0" g="0" b="0"/>
        </a:lnRef>
        <a:fillRef idx="0">
          <a:scrgbClr r="0" g="0" b="0"/>
        </a:fillRef>
        <a:effectRef idx="0">
          <a:scrgbClr r="0" g="0" b="0"/>
        </a:effectRef>
        <a:fontRef idx="minor"/>
      </dsp:style>
    </dsp:sp>
    <dsp:sp modelId="{7D1F9A84-4496-934E-9FF7-25F44AA2A975}">
      <dsp:nvSpPr>
        <dsp:cNvPr id="0" name=""/>
        <dsp:cNvSpPr/>
      </dsp:nvSpPr>
      <dsp:spPr>
        <a:xfrm>
          <a:off x="3020691" y="2471170"/>
          <a:ext cx="1050131" cy="682585"/>
        </a:xfrm>
        <a:prstGeom prst="roundRect">
          <a:avLst/>
        </a:prstGeom>
        <a:gradFill rotWithShape="0">
          <a:gsLst>
            <a:gs pos="0">
              <a:schemeClr val="accent2">
                <a:hueOff val="2340760"/>
                <a:satOff val="-2919"/>
                <a:lumOff val="686"/>
                <a:alphaOff val="0"/>
                <a:tint val="100000"/>
                <a:shade val="100000"/>
                <a:satMod val="130000"/>
              </a:schemeClr>
            </a:gs>
            <a:gs pos="100000">
              <a:schemeClr val="accent2">
                <a:hueOff val="2340760"/>
                <a:satOff val="-2919"/>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Differentiated </a:t>
          </a:r>
        </a:p>
      </dsp:txBody>
      <dsp:txXfrm>
        <a:off x="3054012" y="2504491"/>
        <a:ext cx="983489" cy="615943"/>
      </dsp:txXfrm>
    </dsp:sp>
    <dsp:sp modelId="{AA5D1638-D32B-2844-82C9-9305A04303CF}">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9525" cap="flat" cmpd="sng" algn="ctr">
          <a:solidFill>
            <a:schemeClr val="accent2">
              <a:hueOff val="2340760"/>
              <a:satOff val="-2919"/>
              <a:lumOff val="686"/>
              <a:alphaOff val="0"/>
            </a:schemeClr>
          </a:solidFill>
          <a:prstDash val="solid"/>
        </a:ln>
        <a:effectLst/>
      </dsp:spPr>
      <dsp:style>
        <a:lnRef idx="1">
          <a:scrgbClr r="0" g="0" b="0"/>
        </a:lnRef>
        <a:fillRef idx="0">
          <a:scrgbClr r="0" g="0" b="0"/>
        </a:fillRef>
        <a:effectRef idx="0">
          <a:scrgbClr r="0" g="0" b="0"/>
        </a:effectRef>
        <a:fontRef idx="minor"/>
      </dsp:style>
    </dsp:sp>
    <dsp:sp modelId="{2A9D1865-FDA5-AA44-A752-5D1574CC807A}">
      <dsp:nvSpPr>
        <dsp:cNvPr id="0" name=""/>
        <dsp:cNvSpPr/>
      </dsp:nvSpPr>
      <dsp:spPr>
        <a:xfrm>
          <a:off x="1415577" y="2471170"/>
          <a:ext cx="1050131" cy="682585"/>
        </a:xfrm>
        <a:prstGeom prst="roundRect">
          <a:avLst/>
        </a:prstGeom>
        <a:gradFill rotWithShape="0">
          <a:gsLst>
            <a:gs pos="0">
              <a:schemeClr val="accent2">
                <a:hueOff val="3511140"/>
                <a:satOff val="-4379"/>
                <a:lumOff val="1030"/>
                <a:alphaOff val="0"/>
                <a:tint val="100000"/>
                <a:shade val="100000"/>
                <a:satMod val="130000"/>
              </a:schemeClr>
            </a:gs>
            <a:gs pos="100000">
              <a:schemeClr val="accent2">
                <a:hueOff val="3511140"/>
                <a:satOff val="-4379"/>
                <a:lumOff val="103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Sustainable</a:t>
          </a:r>
        </a:p>
      </dsp:txBody>
      <dsp:txXfrm>
        <a:off x="1448898" y="2504491"/>
        <a:ext cx="983489" cy="615943"/>
      </dsp:txXfrm>
    </dsp:sp>
    <dsp:sp modelId="{A5139593-295D-3445-8F3B-D2B5302824BD}">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9525" cap="flat" cmpd="sng" algn="ctr">
          <a:solidFill>
            <a:schemeClr val="accent2">
              <a:hueOff val="3511140"/>
              <a:satOff val="-4379"/>
              <a:lumOff val="1030"/>
              <a:alphaOff val="0"/>
            </a:schemeClr>
          </a:solidFill>
          <a:prstDash val="solid"/>
        </a:ln>
        <a:effectLst/>
      </dsp:spPr>
      <dsp:style>
        <a:lnRef idx="1">
          <a:scrgbClr r="0" g="0" b="0"/>
        </a:lnRef>
        <a:fillRef idx="0">
          <a:scrgbClr r="0" g="0" b="0"/>
        </a:fillRef>
        <a:effectRef idx="0">
          <a:scrgbClr r="0" g="0" b="0"/>
        </a:effectRef>
        <a:fontRef idx="minor"/>
      </dsp:style>
    </dsp:sp>
    <dsp:sp modelId="{7B3B2A89-49CE-5142-B80C-C8F40282FE31}">
      <dsp:nvSpPr>
        <dsp:cNvPr id="0" name=""/>
        <dsp:cNvSpPr/>
      </dsp:nvSpPr>
      <dsp:spPr>
        <a:xfrm>
          <a:off x="919569" y="944616"/>
          <a:ext cx="1050131" cy="682585"/>
        </a:xfrm>
        <a:prstGeom prst="roundRect">
          <a:avLst/>
        </a:prstGeom>
        <a:gradFill rotWithShape="0">
          <a:gsLst>
            <a:gs pos="0">
              <a:schemeClr val="accent2">
                <a:hueOff val="4681520"/>
                <a:satOff val="-5839"/>
                <a:lumOff val="1373"/>
                <a:alphaOff val="0"/>
                <a:tint val="100000"/>
                <a:shade val="100000"/>
                <a:satMod val="130000"/>
              </a:schemeClr>
            </a:gs>
            <a:gs pos="100000">
              <a:schemeClr val="accent2">
                <a:hueOff val="4681520"/>
                <a:satOff val="-5839"/>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Globally scalable</a:t>
          </a:r>
        </a:p>
      </dsp:txBody>
      <dsp:txXfrm>
        <a:off x="952890" y="977937"/>
        <a:ext cx="983489" cy="615943"/>
      </dsp:txXfrm>
    </dsp:sp>
    <dsp:sp modelId="{3C8DE48D-99DB-9846-AEC8-5EB43486B7AD}">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9525" cap="flat" cmpd="sng" algn="ctr">
          <a:solidFill>
            <a:schemeClr val="accent2">
              <a:hueOff val="4681520"/>
              <a:satOff val="-5839"/>
              <a:lumOff val="1373"/>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1">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panAng" val="360"/>
              <dgm:param type="stAng" val="0"/>
            </dgm:alg>
          </dgm:if>
          <dgm:else name="Name4">
            <dgm:alg type="cycle">
              <dgm:param type="spanAng" val="360"/>
              <dgm:param type="stAng" val="-90"/>
            </dgm:alg>
          </dgm:else>
        </dgm:choose>
      </dgm:if>
      <dgm:else name="Name5">
        <dgm:choose name="Name6">
          <dgm:if name="Name7" axis="ch" ptType="node" func="cnt" op="gt" val="2">
            <dgm:alg type="cycle">
              <dgm:param type="spanAng" val="-360"/>
              <dgm:param type="stAng" val="0"/>
            </dgm:alg>
          </dgm:if>
          <dgm:else name="Name8">
            <dgm:alg type="cycle">
              <dgm:param type="spanAng" val="-360"/>
              <dgm:param type="stAng" val="9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begPts" val="radial"/>
                <dgm:param type="connRout" val="curve"/>
                <dgm:param type="dim" val="1D"/>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Mar19</b:Tag>
    <b:SourceType>InternetSite</b:SourceType>
    <b:Guid>{5D442830-59B4-3F48-A4EC-1AAE7BFE3739}</b:Guid>
    <b:Title>JB HUNT TRANSPORT SERVICES (JBHT)	 </b:Title>
    <b:Year>2019</b:Year>
    <b:Author>
      <b:Author>
        <b:Corporate>Markets</b:Corporate>
      </b:Author>
    </b:Author>
    <b:URL>https://www.marketscreener.com/JB-HUNT-TRANSPORT-SERVICE-9769/ratings/</b:URL>
    <b:YearAccessed>2019</b:YearAccessed>
    <b:MonthAccessed>02</b:MonthAccessed>
    <b:DayAccessed>28</b:DayAccessed>
    <b:RefOrder>1</b:RefOrder>
  </b:Source>
  <b:Source>
    <b:Tag>Rob92</b:Tag>
    <b:SourceType>JournalArticle</b:SourceType>
    <b:Guid>{B98F0097-A674-EF41-AD03-EEED3AADCB62}</b:Guid>
    <b:Title>The Balanced Scorecard—Measures that Drive Performance</b:Title>
    <b:Year>1992</b:Year>
    <b:Author>
      <b:Author>
        <b:NameList>
          <b:Person>
            <b:Last>Kaplan</b:Last>
            <b:First>Robert</b:First>
            <b:Middle>S.</b:Middle>
          </b:Person>
          <b:Person>
            <b:Last>Norton</b:Last>
            <b:First>David</b:First>
            <b:Middle>P.</b:Middle>
          </b:Person>
        </b:NameList>
      </b:Author>
    </b:Author>
    <b:JournalName>Harvard Business Review</b:JournalName>
    <b:RefOrder>3</b:RefOrder>
  </b:Source>
  <b:Source>
    <b:Tag>Zar14</b:Tag>
    <b:SourceType>JournalArticle</b:SourceType>
    <b:Guid>{BAD42426-DDA3-3347-A28D-63C8138F7E6C}</b:Guid>
    <b:Author>
      <b:Author>
        <b:NameList>
          <b:Person>
            <b:Last>Alias</b:Last>
            <b:First>Zarina</b:First>
          </b:Person>
          <b:Person>
            <b:Last>Zawawi</b:Last>
            <b:First>E.M.A.</b:First>
          </b:Person>
          <b:Person>
            <b:Last>Yusof</b:Last>
            <b:First>Khalid</b:First>
          </b:Person>
          <b:Person>
            <b:Last>Aris</b:Last>
            <b:First>NM</b:First>
          </b:Person>
        </b:NameList>
      </b:Author>
    </b:Author>
    <b:Title>Determining Critical Success Factors of Project Management Practice: A conceptual framework  </b:Title>
    <b:JournalName>Social and Behavioral Sciences  </b:JournalName>
    <b:Year>2014</b:Year>
    <b:Volume>153</b:Volume>
    <b:Pages>61 – 69  </b:Pages>
    <b:RefOrder>4</b:RefOrder>
  </b:Source>
  <b:Source>
    <b:Tag>GDO00</b:Tag>
    <b:SourceType>JournalArticle</b:SourceType>
    <b:Guid>{32CE3D5D-4630-2140-804D-39791DCE0F8E}</b:Guid>
    <b:Title>Improving the quality of operations in truckioad trucking</b:Title>
    <b:Year>2000</b:Year>
    <b:Author>
      <b:Author>
        <b:NameList>
          <b:Person>
            <b:Last>TAYLOR</b:Last>
            <b:First>G.</b:First>
            <b:Middle>DON</b:Middle>
          </b:Person>
          <b:Person>
            <b:Last>MEINERT</b:Last>
            <b:First>TIMOTHY</b:First>
            <b:Middle>S.</b:Middle>
          </b:Person>
        </b:NameList>
      </b:Author>
    </b:Author>
    <b:JournalName>IIE Transactions</b:JournalName>
    <b:Volume>32</b:Volume>
    <b:Issue>6</b:Issue>
    <b:RefOrder>2</b:RefOrder>
  </b:Source>
</b:Sources>
</file>

<file path=customXml/itemProps1.xml><?xml version="1.0" encoding="utf-8"?>
<ds:datastoreItem xmlns:ds="http://schemas.openxmlformats.org/officeDocument/2006/customXml" ds:itemID="{7D102C9A-E223-384D-B754-1AC803B1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1055</Words>
  <Characters>6017</Characters>
  <Application>Microsoft Macintosh Word</Application>
  <DocSecurity>0</DocSecurity>
  <Lines>50</Lines>
  <Paragraphs>14</Paragraphs>
  <ScaleCrop>false</ScaleCrop>
  <Company>art</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2019-03-01T15:59:00Z</dcterms:created>
  <dcterms:modified xsi:type="dcterms:W3CDTF">2019-03-01T15:59:00Z</dcterms:modified>
</cp:coreProperties>
</file>