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6358" w14:textId="77777777" w:rsidR="00FC5220" w:rsidRDefault="00FC5220" w:rsidP="00FC5220">
      <w:pPr>
        <w:spacing w:line="480" w:lineRule="auto"/>
        <w:jc w:val="center"/>
      </w:pPr>
    </w:p>
    <w:p w14:paraId="48D41BC8" w14:textId="77777777" w:rsidR="00FC5220" w:rsidRDefault="00FC5220" w:rsidP="00FC5220">
      <w:pPr>
        <w:spacing w:line="480" w:lineRule="auto"/>
        <w:jc w:val="center"/>
      </w:pPr>
    </w:p>
    <w:p w14:paraId="0C3AA851" w14:textId="77777777" w:rsidR="00FC5220" w:rsidRDefault="00FC5220" w:rsidP="00FC5220">
      <w:pPr>
        <w:spacing w:line="480" w:lineRule="auto"/>
        <w:jc w:val="center"/>
      </w:pPr>
    </w:p>
    <w:p w14:paraId="4157EB0A" w14:textId="77777777" w:rsidR="00FC5220" w:rsidRDefault="00FC5220" w:rsidP="00FC5220">
      <w:pPr>
        <w:spacing w:line="480" w:lineRule="auto"/>
        <w:jc w:val="center"/>
      </w:pPr>
    </w:p>
    <w:p w14:paraId="64E0C0A3" w14:textId="77777777" w:rsidR="00FC5220" w:rsidRDefault="00FC5220" w:rsidP="00FC5220">
      <w:pPr>
        <w:spacing w:line="480" w:lineRule="auto"/>
        <w:jc w:val="center"/>
      </w:pPr>
    </w:p>
    <w:p w14:paraId="1D4B1D89" w14:textId="77777777" w:rsidR="00FC5220" w:rsidRDefault="00FC5220" w:rsidP="00FC5220">
      <w:pPr>
        <w:spacing w:line="480" w:lineRule="auto"/>
        <w:jc w:val="center"/>
      </w:pPr>
    </w:p>
    <w:p w14:paraId="65B8CEF5" w14:textId="77777777" w:rsidR="00FC5220" w:rsidRDefault="00FE649F" w:rsidP="00FC5220">
      <w:pPr>
        <w:spacing w:line="480" w:lineRule="auto"/>
        <w:jc w:val="center"/>
      </w:pPr>
      <w:r>
        <w:t>Title Page</w:t>
      </w:r>
    </w:p>
    <w:p w14:paraId="7DE88410" w14:textId="77777777" w:rsidR="00FC5220" w:rsidRDefault="00FE649F" w:rsidP="00FC5220">
      <w:pPr>
        <w:spacing w:line="480" w:lineRule="auto"/>
        <w:jc w:val="center"/>
      </w:pPr>
      <w:r>
        <w:t>Budget estimates</w:t>
      </w:r>
    </w:p>
    <w:p w14:paraId="5C1F4BB4" w14:textId="77777777" w:rsidR="00FC5220" w:rsidRDefault="00FE649F">
      <w:r>
        <w:br w:type="page"/>
      </w:r>
    </w:p>
    <w:p w14:paraId="74AA49A4" w14:textId="7644F963" w:rsidR="00EE6AC5" w:rsidRDefault="00FE649F" w:rsidP="00EE6AC5">
      <w:pPr>
        <w:tabs>
          <w:tab w:val="left" w:pos="855"/>
        </w:tabs>
        <w:spacing w:line="480" w:lineRule="auto"/>
        <w:jc w:val="both"/>
        <w:rPr>
          <w:rFonts w:ascii="Times New Roman" w:hAnsi="Times New Roman" w:cs="Times New Roman"/>
        </w:rPr>
      </w:pPr>
      <w:r w:rsidRPr="00EE6AC5">
        <w:rPr>
          <w:rFonts w:ascii="Times New Roman" w:hAnsi="Times New Roman" w:cs="Times New Roman"/>
        </w:rPr>
        <w:lastRenderedPageBreak/>
        <w:t xml:space="preserve">Chosen goal </w:t>
      </w:r>
    </w:p>
    <w:p w14:paraId="6B92B7D4" w14:textId="502C1FF0" w:rsidR="006B3192" w:rsidRPr="00EE6AC5" w:rsidRDefault="00FE649F" w:rsidP="00EE6AC5">
      <w:pPr>
        <w:tabs>
          <w:tab w:val="left" w:pos="855"/>
        </w:tabs>
        <w:spacing w:line="480" w:lineRule="auto"/>
        <w:jc w:val="both"/>
        <w:rPr>
          <w:rFonts w:ascii="Times New Roman" w:hAnsi="Times New Roman" w:cs="Times New Roman"/>
        </w:rPr>
      </w:pPr>
      <w:r>
        <w:rPr>
          <w:rFonts w:ascii="Times New Roman" w:hAnsi="Times New Roman" w:cs="Times New Roman"/>
        </w:rPr>
        <w:t xml:space="preserve">The company has selected the goal </w:t>
      </w:r>
      <w:r w:rsidR="004C30C7">
        <w:rPr>
          <w:rFonts w:ascii="Times New Roman" w:hAnsi="Times New Roman" w:cs="Times New Roman"/>
        </w:rPr>
        <w:t xml:space="preserve">of </w:t>
      </w:r>
      <w:r w:rsidR="004C30C7">
        <w:rPr>
          <w:rFonts w:ascii="Times New Roman" w:hAnsi="Times New Roman" w:cs="Times New Roman"/>
          <w:color w:val="000000"/>
        </w:rPr>
        <w:t>p</w:t>
      </w:r>
      <w:r w:rsidR="004C30C7" w:rsidRPr="001C29C6">
        <w:rPr>
          <w:rFonts w:ascii="Times New Roman" w:hAnsi="Times New Roman" w:cs="Times New Roman"/>
          <w:color w:val="000000"/>
        </w:rPr>
        <w:t>lacing the customer experience at the core of everything</w:t>
      </w:r>
      <w:r w:rsidR="004C30C7">
        <w:rPr>
          <w:rFonts w:ascii="Times New Roman" w:hAnsi="Times New Roman" w:cs="Times New Roman"/>
          <w:color w:val="000000"/>
        </w:rPr>
        <w:t xml:space="preserve">. </w:t>
      </w:r>
      <w:r w:rsidR="00E2027D">
        <w:rPr>
          <w:rFonts w:ascii="Times New Roman" w:hAnsi="Times New Roman" w:cs="Times New Roman"/>
          <w:color w:val="000000"/>
        </w:rPr>
        <w:t>Online platforms will be used for marketing that will target the brooder audience. Delivering good and quality service will improve the customer experience.</w:t>
      </w:r>
      <w:r w:rsidR="005A53E6">
        <w:rPr>
          <w:rFonts w:ascii="Times New Roman" w:hAnsi="Times New Roman" w:cs="Times New Roman"/>
          <w:color w:val="000000"/>
        </w:rPr>
        <w:t xml:space="preserve"> Delighting customer depends on focusing on the goal of the extra meal and by engaging them directly with the company's culture. </w:t>
      </w:r>
      <w:r w:rsidR="00FD40AA">
        <w:rPr>
          <w:rFonts w:ascii="Times New Roman" w:hAnsi="Times New Roman" w:cs="Times New Roman"/>
          <w:color w:val="000000"/>
        </w:rPr>
        <w:t>Employees</w:t>
      </w:r>
      <w:r w:rsidR="00E07EB1">
        <w:rPr>
          <w:rFonts w:ascii="Times New Roman" w:hAnsi="Times New Roman" w:cs="Times New Roman"/>
          <w:color w:val="000000"/>
        </w:rPr>
        <w:t xml:space="preserve"> having direct interaction with customers would be able to provide quality service in different areas. </w:t>
      </w:r>
      <w:r w:rsidR="00FD40AA">
        <w:rPr>
          <w:rFonts w:ascii="Times New Roman" w:hAnsi="Times New Roman" w:cs="Times New Roman"/>
          <w:color w:val="000000"/>
        </w:rPr>
        <w:t>By investing in customers, the company will aim at maximizing customer loyalty and satisfaction.</w:t>
      </w:r>
      <w:r w:rsidR="0001425C">
        <w:rPr>
          <w:rFonts w:ascii="Times New Roman" w:hAnsi="Times New Roman" w:cs="Times New Roman"/>
          <w:color w:val="000000"/>
        </w:rPr>
        <w:t xml:space="preserve"> Investing in different communication tools will increase probability of engaging customers. </w:t>
      </w:r>
    </w:p>
    <w:p w14:paraId="37A815D4" w14:textId="19622679" w:rsidR="004F3E88" w:rsidRDefault="00FE649F" w:rsidP="00EE6AC5">
      <w:pPr>
        <w:tabs>
          <w:tab w:val="left" w:pos="855"/>
        </w:tabs>
        <w:spacing w:line="480" w:lineRule="auto"/>
        <w:jc w:val="both"/>
        <w:rPr>
          <w:rFonts w:ascii="Times New Roman" w:hAnsi="Times New Roman" w:cs="Times New Roman"/>
        </w:rPr>
      </w:pPr>
      <w:r w:rsidRPr="00EE6AC5">
        <w:rPr>
          <w:rFonts w:ascii="Times New Roman" w:hAnsi="Times New Roman" w:cs="Times New Roman"/>
        </w:rPr>
        <w:t>Operating budget</w:t>
      </w:r>
    </w:p>
    <w:p w14:paraId="744BDA64" w14:textId="6D7BBDA8" w:rsidR="00CF1CFB" w:rsidRDefault="00FE649F" w:rsidP="00EE6AC5">
      <w:pPr>
        <w:tabs>
          <w:tab w:val="left" w:pos="855"/>
        </w:tabs>
        <w:spacing w:line="480" w:lineRule="auto"/>
        <w:jc w:val="both"/>
        <w:rPr>
          <w:rFonts w:ascii="Times New Roman" w:hAnsi="Times New Roman" w:cs="Times New Roman"/>
        </w:rPr>
      </w:pPr>
      <w:r>
        <w:rPr>
          <w:rFonts w:ascii="Times New Roman" w:hAnsi="Times New Roman" w:cs="Times New Roman"/>
        </w:rPr>
        <w:t xml:space="preserve">The operating </w:t>
      </w:r>
      <w:r w:rsidR="009127DB">
        <w:rPr>
          <w:rFonts w:ascii="Times New Roman" w:hAnsi="Times New Roman" w:cs="Times New Roman"/>
        </w:rPr>
        <w:t xml:space="preserve">budget for the </w:t>
      </w:r>
      <w:r w:rsidR="00F400B5">
        <w:rPr>
          <w:rFonts w:ascii="Times New Roman" w:hAnsi="Times New Roman" w:cs="Times New Roman"/>
        </w:rPr>
        <w:t>attainment of goal</w:t>
      </w:r>
      <w:r w:rsidR="009127DB">
        <w:rPr>
          <w:rFonts w:ascii="Times New Roman" w:hAnsi="Times New Roman" w:cs="Times New Roman"/>
        </w:rPr>
        <w:t xml:space="preserve"> identifies</w:t>
      </w:r>
      <w:r>
        <w:rPr>
          <w:rFonts w:ascii="Times New Roman" w:hAnsi="Times New Roman" w:cs="Times New Roman"/>
        </w:rPr>
        <w:t xml:space="preserve"> the areas that will need </w:t>
      </w:r>
      <w:r w:rsidR="00F400B5">
        <w:rPr>
          <w:rFonts w:ascii="Times New Roman" w:hAnsi="Times New Roman" w:cs="Times New Roman"/>
        </w:rPr>
        <w:t>funds</w:t>
      </w:r>
      <w:r>
        <w:rPr>
          <w:rFonts w:ascii="Times New Roman" w:hAnsi="Times New Roman" w:cs="Times New Roman"/>
        </w:rPr>
        <w:t>. The operating budget is divided into three main aspects; market resea</w:t>
      </w:r>
      <w:r w:rsidR="009127DB">
        <w:rPr>
          <w:rFonts w:ascii="Times New Roman" w:hAnsi="Times New Roman" w:cs="Times New Roman"/>
        </w:rPr>
        <w:t xml:space="preserve">rch, communications, and others. </w:t>
      </w:r>
      <w:r w:rsidR="004C7675">
        <w:rPr>
          <w:rFonts w:ascii="Times New Roman" w:hAnsi="Times New Roman" w:cs="Times New Roman"/>
        </w:rPr>
        <w:t xml:space="preserve">The expenses for the market research will comprise of research fee, web research, independent research, and marketing research. </w:t>
      </w:r>
      <w:r w:rsidR="00E52A92">
        <w:rPr>
          <w:rFonts w:ascii="Times New Roman" w:hAnsi="Times New Roman" w:cs="Times New Roman"/>
        </w:rPr>
        <w:t xml:space="preserve">Through market research, the company will identify the areas that need improvement for enhancing customers experience. McDonald's will need adequate investment for </w:t>
      </w:r>
      <w:r w:rsidR="0088634C">
        <w:rPr>
          <w:rFonts w:ascii="Times New Roman" w:hAnsi="Times New Roman" w:cs="Times New Roman"/>
        </w:rPr>
        <w:t>financin</w:t>
      </w:r>
      <w:r w:rsidR="00E52A92">
        <w:rPr>
          <w:rFonts w:ascii="Times New Roman" w:hAnsi="Times New Roman" w:cs="Times New Roman"/>
        </w:rPr>
        <w:t xml:space="preserve">g such activities. </w:t>
      </w:r>
      <w:r w:rsidR="004C7675">
        <w:rPr>
          <w:rFonts w:ascii="Times New Roman" w:hAnsi="Times New Roman" w:cs="Times New Roman"/>
        </w:rPr>
        <w:t xml:space="preserve">This will provide information about customer preferences and segmentation. To build effective communications the company will invest in branding and promotions. </w:t>
      </w:r>
    </w:p>
    <w:tbl>
      <w:tblPr>
        <w:tblW w:w="0" w:type="auto"/>
        <w:tblInd w:w="108" w:type="dxa"/>
        <w:tblLook w:val="04A0" w:firstRow="1" w:lastRow="0" w:firstColumn="1" w:lastColumn="0" w:noHBand="0" w:noVBand="1"/>
      </w:tblPr>
      <w:tblGrid>
        <w:gridCol w:w="2969"/>
        <w:gridCol w:w="876"/>
        <w:gridCol w:w="876"/>
        <w:gridCol w:w="876"/>
        <w:gridCol w:w="876"/>
        <w:gridCol w:w="876"/>
      </w:tblGrid>
      <w:tr w:rsidR="00DA3A1C" w14:paraId="0F332D81" w14:textId="77777777" w:rsidTr="006B3192">
        <w:trPr>
          <w:trHeight w:val="380"/>
        </w:trPr>
        <w:tc>
          <w:tcPr>
            <w:tcW w:w="0" w:type="auto"/>
            <w:tcBorders>
              <w:top w:val="nil"/>
              <w:left w:val="nil"/>
              <w:bottom w:val="single" w:sz="8" w:space="0" w:color="6E9EC2"/>
              <w:right w:val="nil"/>
            </w:tcBorders>
            <w:shd w:val="clear" w:color="auto" w:fill="auto"/>
            <w:noWrap/>
            <w:vAlign w:val="bottom"/>
            <w:hideMark/>
          </w:tcPr>
          <w:p w14:paraId="0CFF30B8" w14:textId="77777777" w:rsidR="006B3192" w:rsidRPr="006B3192" w:rsidRDefault="00FE649F" w:rsidP="006B3192">
            <w:pPr>
              <w:spacing w:line="360" w:lineRule="auto"/>
              <w:rPr>
                <w:rFonts w:ascii="Times New Roman" w:eastAsia="Times New Roman" w:hAnsi="Times New Roman" w:cs="Times New Roman"/>
                <w:bCs/>
              </w:rPr>
            </w:pPr>
            <w:r w:rsidRPr="006B3192">
              <w:rPr>
                <w:rFonts w:ascii="Times New Roman" w:eastAsia="Times New Roman" w:hAnsi="Times New Roman" w:cs="Times New Roman"/>
                <w:bCs/>
              </w:rPr>
              <w:t>Market Research</w:t>
            </w:r>
          </w:p>
        </w:tc>
        <w:tc>
          <w:tcPr>
            <w:tcW w:w="0" w:type="auto"/>
            <w:tcBorders>
              <w:top w:val="nil"/>
              <w:left w:val="nil"/>
              <w:bottom w:val="single" w:sz="8" w:space="0" w:color="6E9EC2"/>
              <w:right w:val="nil"/>
            </w:tcBorders>
            <w:shd w:val="clear" w:color="auto" w:fill="auto"/>
            <w:noWrap/>
            <w:vAlign w:val="bottom"/>
            <w:hideMark/>
          </w:tcPr>
          <w:p w14:paraId="34FCC9E0"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60D977B5"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11D232B9"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47F0A020"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753BB8F3"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r>
      <w:tr w:rsidR="00DA3A1C" w14:paraId="7D9DDB1F"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tcPr>
          <w:p w14:paraId="0108DE62" w14:textId="77777777" w:rsidR="0016456E" w:rsidRPr="006B3192" w:rsidRDefault="0016456E" w:rsidP="006B3192">
            <w:pPr>
              <w:spacing w:line="360" w:lineRule="auto"/>
              <w:rPr>
                <w:rFonts w:ascii="Times New Roman" w:eastAsia="Times New Roman" w:hAnsi="Times New Roman" w:cs="Times New Roman"/>
                <w:color w:val="000000"/>
              </w:rPr>
            </w:pP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tcPr>
          <w:p w14:paraId="4C481717" w14:textId="37B33E92" w:rsidR="0016456E" w:rsidRPr="006B3192" w:rsidRDefault="00FE649F" w:rsidP="0016456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tcPr>
          <w:p w14:paraId="04AA9DC2" w14:textId="6D5D7246" w:rsidR="0016456E" w:rsidRPr="006B3192" w:rsidRDefault="00FE649F"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tcPr>
          <w:p w14:paraId="2072D699" w14:textId="29FDA871" w:rsidR="0016456E" w:rsidRPr="006B3192" w:rsidRDefault="00FE649F"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2020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tcPr>
          <w:p w14:paraId="709F6B1E" w14:textId="0712D85A" w:rsidR="0016456E" w:rsidRPr="006B3192" w:rsidRDefault="00FE649F"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2021</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tcPr>
          <w:p w14:paraId="2EDD5F4D" w14:textId="5B581122" w:rsidR="0016456E" w:rsidRPr="006B3192" w:rsidRDefault="00FE649F"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2022</w:t>
            </w:r>
          </w:p>
        </w:tc>
      </w:tr>
      <w:tr w:rsidR="00DA3A1C" w14:paraId="5C50BDE6"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39655EA4"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Firm Research Fees</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0EC9CF0" w14:textId="3945BE1E"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104D511F" w14:textId="4593139E"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6,500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12DD301" w14:textId="0155B24D"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560489F1" w14:textId="2C978456"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6</w:t>
            </w:r>
            <w:r w:rsidR="004527FA">
              <w:rPr>
                <w:rFonts w:ascii="Times New Roman" w:eastAsia="Times New Roman" w:hAnsi="Times New Roman" w:cs="Times New Roman"/>
                <w:color w:val="000000"/>
              </w:rPr>
              <w:t>,100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72CCA12" w14:textId="5704638E"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7,</w:t>
            </w:r>
            <w:r w:rsidR="004527FA">
              <w:rPr>
                <w:rFonts w:ascii="Times New Roman" w:eastAsia="Times New Roman" w:hAnsi="Times New Roman" w:cs="Times New Roman"/>
                <w:color w:val="000000"/>
              </w:rPr>
              <w:t>500</w:t>
            </w:r>
          </w:p>
        </w:tc>
      </w:tr>
      <w:tr w:rsidR="00DA3A1C" w14:paraId="6B05A143"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E1EBF2" w:fill="E1EBF2"/>
            <w:vAlign w:val="center"/>
            <w:hideMark/>
          </w:tcPr>
          <w:p w14:paraId="20920496"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Web Research</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1CC6B4C7" w14:textId="0A100642"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0E11F84F" w14:textId="4BB1C26D"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26FA326" w14:textId="1F868BE2"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FD2C856" w14:textId="257BE1E4"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045C7BCA" w14:textId="505FD2B2"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A3A1C" w14:paraId="4D9CEB08"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52087FF9"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lastRenderedPageBreak/>
              <w:t>Independent Research</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B225E62" w14:textId="658AB832"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608B90CB" w14:textId="3BD06CEA"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653EA89D" w14:textId="04BA6A8C"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FD78C51" w14:textId="27F47F42"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7B2ECDDF" w14:textId="7320B024" w:rsidR="006B3192" w:rsidRPr="006B3192" w:rsidRDefault="004527FA" w:rsidP="006B3192">
            <w:pPr>
              <w:spacing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r w:rsidR="00FE649F" w:rsidRPr="006B3192">
              <w:rPr>
                <w:rFonts w:ascii="Times New Roman" w:eastAsia="Times New Roman" w:hAnsi="Times New Roman" w:cs="Times New Roman"/>
                <w:color w:val="000000"/>
              </w:rPr>
              <w:t>00</w:t>
            </w:r>
          </w:p>
        </w:tc>
      </w:tr>
      <w:tr w:rsidR="00DA3A1C" w14:paraId="3177D73B" w14:textId="77777777" w:rsidTr="006B3192">
        <w:trPr>
          <w:trHeight w:val="320"/>
        </w:trPr>
        <w:tc>
          <w:tcPr>
            <w:tcW w:w="0" w:type="auto"/>
            <w:tcBorders>
              <w:top w:val="single" w:sz="8" w:space="0" w:color="6E9EC2"/>
              <w:left w:val="single" w:sz="4" w:space="0" w:color="A7C5DA"/>
              <w:bottom w:val="single" w:sz="4" w:space="0" w:color="A7C5DA"/>
              <w:right w:val="single" w:sz="4" w:space="0" w:color="A7C5DA"/>
            </w:tcBorders>
            <w:shd w:val="clear" w:color="E1EBF2" w:fill="E1EBF2"/>
            <w:vAlign w:val="center"/>
            <w:hideMark/>
          </w:tcPr>
          <w:p w14:paraId="17F17809" w14:textId="77777777" w:rsidR="006B3192" w:rsidRPr="006B3192" w:rsidRDefault="00FE649F" w:rsidP="006B3192">
            <w:pPr>
              <w:spacing w:line="360" w:lineRule="auto"/>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Market Research Total</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2596BADA" w14:textId="6222FADE"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18,100</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228AFEE9" w14:textId="4E63B4FC"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12,800</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4961EF96" w14:textId="45ED58A4"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11,400</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4D311725" w14:textId="355C4F83"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11,200</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6F51D57C" w14:textId="50C2B7A0"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10,600</w:t>
            </w:r>
          </w:p>
        </w:tc>
      </w:tr>
      <w:tr w:rsidR="00DA3A1C" w14:paraId="65831A84" w14:textId="77777777" w:rsidTr="006B3192">
        <w:trPr>
          <w:trHeight w:val="320"/>
        </w:trPr>
        <w:tc>
          <w:tcPr>
            <w:tcW w:w="0" w:type="auto"/>
            <w:tcBorders>
              <w:top w:val="nil"/>
              <w:left w:val="nil"/>
              <w:bottom w:val="nil"/>
              <w:right w:val="nil"/>
            </w:tcBorders>
            <w:shd w:val="clear" w:color="auto" w:fill="auto"/>
            <w:noWrap/>
            <w:vAlign w:val="bottom"/>
            <w:hideMark/>
          </w:tcPr>
          <w:p w14:paraId="5D88BC89"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61B5C642"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1583C0CC"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7A881E62"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5302925B"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24B59789" w14:textId="77777777" w:rsidR="006B3192" w:rsidRPr="006B3192" w:rsidRDefault="006B3192" w:rsidP="006B3192">
            <w:pPr>
              <w:spacing w:line="360" w:lineRule="auto"/>
              <w:rPr>
                <w:rFonts w:ascii="Times New Roman" w:eastAsia="Times New Roman" w:hAnsi="Times New Roman" w:cs="Times New Roman"/>
                <w:color w:val="000000"/>
              </w:rPr>
            </w:pPr>
          </w:p>
        </w:tc>
      </w:tr>
      <w:tr w:rsidR="00DA3A1C" w14:paraId="1BCDA0EE" w14:textId="77777777" w:rsidTr="006B3192">
        <w:trPr>
          <w:trHeight w:val="380"/>
        </w:trPr>
        <w:tc>
          <w:tcPr>
            <w:tcW w:w="0" w:type="auto"/>
            <w:tcBorders>
              <w:top w:val="nil"/>
              <w:left w:val="nil"/>
              <w:bottom w:val="single" w:sz="8" w:space="0" w:color="6E9EC2"/>
              <w:right w:val="nil"/>
            </w:tcBorders>
            <w:shd w:val="clear" w:color="auto" w:fill="auto"/>
            <w:noWrap/>
            <w:vAlign w:val="bottom"/>
            <w:hideMark/>
          </w:tcPr>
          <w:p w14:paraId="719D192F" w14:textId="77777777" w:rsidR="006B3192" w:rsidRPr="005E0014" w:rsidRDefault="00FE649F" w:rsidP="006B3192">
            <w:pPr>
              <w:spacing w:line="360" w:lineRule="auto"/>
              <w:rPr>
                <w:rFonts w:ascii="Times New Roman" w:eastAsia="Times New Roman" w:hAnsi="Times New Roman" w:cs="Times New Roman"/>
                <w:bCs/>
              </w:rPr>
            </w:pPr>
            <w:r w:rsidRPr="005E0014">
              <w:rPr>
                <w:rFonts w:ascii="Times New Roman" w:eastAsia="Times New Roman" w:hAnsi="Times New Roman" w:cs="Times New Roman"/>
                <w:bCs/>
              </w:rPr>
              <w:t>Communications</w:t>
            </w:r>
          </w:p>
        </w:tc>
        <w:tc>
          <w:tcPr>
            <w:tcW w:w="0" w:type="auto"/>
            <w:tcBorders>
              <w:top w:val="nil"/>
              <w:left w:val="nil"/>
              <w:bottom w:val="single" w:sz="8" w:space="0" w:color="6E9EC2"/>
              <w:right w:val="nil"/>
            </w:tcBorders>
            <w:shd w:val="clear" w:color="auto" w:fill="auto"/>
            <w:noWrap/>
            <w:vAlign w:val="bottom"/>
            <w:hideMark/>
          </w:tcPr>
          <w:p w14:paraId="32DC1B1C"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4108BE8A"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078284E9"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35318AC7"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48A5CD9B"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r>
      <w:tr w:rsidR="00DA3A1C" w14:paraId="0FCC391E"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3AA39A56"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Branding</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3164A0D9"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521</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7C7B62DF"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323</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48CEE23"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274</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4D98888F"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451</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6FBBB99A"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104</w:t>
            </w:r>
          </w:p>
        </w:tc>
      </w:tr>
      <w:tr w:rsidR="00DA3A1C" w14:paraId="71CECDC8"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E1EBF2" w:fill="E1EBF2"/>
            <w:vAlign w:val="center"/>
            <w:hideMark/>
          </w:tcPr>
          <w:p w14:paraId="28B7E43B"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Promotions</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31BB64FB" w14:textId="3ABC86FE"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10,000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D1DB7D6" w14:textId="41C2F6D7"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9,000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82297F5" w14:textId="6F847FC0"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9,500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22C7EB9" w14:textId="4925ED4C"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7,000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0066EA0" w14:textId="4F0D62E3"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7,500</w:t>
            </w:r>
          </w:p>
        </w:tc>
      </w:tr>
      <w:tr w:rsidR="00DA3A1C" w14:paraId="473FADA8"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25B973CF"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Newspaper Advertising</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569C934E" w14:textId="4F9775FB"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9,900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4FCBFFA3" w14:textId="0095FE05"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9,500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601AE40F" w14:textId="153EC582"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6,000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2ABF71C" w14:textId="4C41C1D5"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5,500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1A33909E" w14:textId="11B5E644" w:rsidR="006B3192" w:rsidRPr="006B3192" w:rsidRDefault="00FE649F" w:rsidP="006B3192">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4,400</w:t>
            </w:r>
          </w:p>
        </w:tc>
      </w:tr>
      <w:tr w:rsidR="00DA3A1C" w14:paraId="2EA00AE0"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E1EBF2" w:fill="E1EBF2"/>
            <w:vAlign w:val="center"/>
            <w:hideMark/>
          </w:tcPr>
          <w:p w14:paraId="70F5CF9C"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Web Advertising</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212A7BC0"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10,572</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5DA33C3"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14,514</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4F00B6D3"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10,561</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972A793"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13,170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E9393F5"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12,478</w:t>
            </w:r>
          </w:p>
        </w:tc>
      </w:tr>
      <w:tr w:rsidR="00DA3A1C" w14:paraId="032D7CC0"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4CCE0A5E"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Direct marketing</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17708D92"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250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53F3D036"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428</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4B878DF8"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165</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A5E4194"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1,168</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7D06A679"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345</w:t>
            </w:r>
          </w:p>
        </w:tc>
      </w:tr>
      <w:tr w:rsidR="00DA3A1C" w14:paraId="0EFF2CCB" w14:textId="77777777" w:rsidTr="006B3192">
        <w:trPr>
          <w:trHeight w:val="320"/>
        </w:trPr>
        <w:tc>
          <w:tcPr>
            <w:tcW w:w="0" w:type="auto"/>
            <w:tcBorders>
              <w:top w:val="single" w:sz="8" w:space="0" w:color="6E9EC2"/>
              <w:left w:val="single" w:sz="4" w:space="0" w:color="A7C5DA"/>
              <w:bottom w:val="single" w:sz="4" w:space="0" w:color="A7C5DA"/>
              <w:right w:val="single" w:sz="4" w:space="0" w:color="A7C5DA"/>
            </w:tcBorders>
            <w:shd w:val="clear" w:color="E1EBF2" w:fill="E1EBF2"/>
            <w:vAlign w:val="center"/>
            <w:hideMark/>
          </w:tcPr>
          <w:p w14:paraId="031790EB" w14:textId="77777777" w:rsidR="006B3192" w:rsidRPr="006B3192" w:rsidRDefault="00FE649F" w:rsidP="006B3192">
            <w:pPr>
              <w:spacing w:line="360" w:lineRule="auto"/>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Communications Total</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3A1F3F92" w14:textId="5602DDA2"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30,722</w:t>
            </w:r>
            <w:bookmarkStart w:id="0" w:name="_GoBack"/>
            <w:bookmarkEnd w:id="0"/>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5BD6975A" w14:textId="347BBC1E"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33,442</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52794FA8" w14:textId="70DF9916"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26,226</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12F1B275" w14:textId="0158EDE3"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26,838</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5D57DE7C" w14:textId="39B3D429" w:rsidR="006B3192" w:rsidRPr="006B3192" w:rsidRDefault="004527FA" w:rsidP="006B3192">
            <w:pPr>
              <w:spacing w:line="36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24,732</w:t>
            </w:r>
          </w:p>
        </w:tc>
      </w:tr>
      <w:tr w:rsidR="00DA3A1C" w14:paraId="21576B80" w14:textId="77777777" w:rsidTr="006B3192">
        <w:trPr>
          <w:trHeight w:val="320"/>
        </w:trPr>
        <w:tc>
          <w:tcPr>
            <w:tcW w:w="0" w:type="auto"/>
            <w:tcBorders>
              <w:top w:val="nil"/>
              <w:left w:val="nil"/>
              <w:bottom w:val="nil"/>
              <w:right w:val="nil"/>
            </w:tcBorders>
            <w:shd w:val="clear" w:color="auto" w:fill="auto"/>
            <w:noWrap/>
            <w:vAlign w:val="bottom"/>
            <w:hideMark/>
          </w:tcPr>
          <w:p w14:paraId="6E6610E1"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5CA27D39"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60AAECB7"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18480FBC"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1F905E50" w14:textId="77777777" w:rsidR="006B3192" w:rsidRPr="006B3192" w:rsidRDefault="006B3192" w:rsidP="006B3192">
            <w:pPr>
              <w:spacing w:line="360" w:lineRule="auto"/>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007EF3B1" w14:textId="77777777" w:rsidR="006B3192" w:rsidRPr="006B3192" w:rsidRDefault="006B3192" w:rsidP="006B3192">
            <w:pPr>
              <w:spacing w:line="360" w:lineRule="auto"/>
              <w:rPr>
                <w:rFonts w:ascii="Times New Roman" w:eastAsia="Times New Roman" w:hAnsi="Times New Roman" w:cs="Times New Roman"/>
                <w:color w:val="000000"/>
              </w:rPr>
            </w:pPr>
          </w:p>
        </w:tc>
      </w:tr>
      <w:tr w:rsidR="00DA3A1C" w14:paraId="3BA5268D" w14:textId="77777777" w:rsidTr="006B3192">
        <w:trPr>
          <w:trHeight w:val="380"/>
        </w:trPr>
        <w:tc>
          <w:tcPr>
            <w:tcW w:w="0" w:type="auto"/>
            <w:tcBorders>
              <w:top w:val="nil"/>
              <w:left w:val="nil"/>
              <w:bottom w:val="single" w:sz="8" w:space="0" w:color="6E9EC2"/>
              <w:right w:val="nil"/>
            </w:tcBorders>
            <w:shd w:val="clear" w:color="auto" w:fill="auto"/>
            <w:noWrap/>
            <w:vAlign w:val="bottom"/>
            <w:hideMark/>
          </w:tcPr>
          <w:p w14:paraId="31C3C8B2" w14:textId="77777777" w:rsidR="006B3192" w:rsidRPr="005E0014" w:rsidRDefault="00FE649F" w:rsidP="006B3192">
            <w:pPr>
              <w:spacing w:line="360" w:lineRule="auto"/>
              <w:rPr>
                <w:rFonts w:ascii="Times New Roman" w:eastAsia="Times New Roman" w:hAnsi="Times New Roman" w:cs="Times New Roman"/>
                <w:bCs/>
              </w:rPr>
            </w:pPr>
            <w:r w:rsidRPr="005E0014">
              <w:rPr>
                <w:rFonts w:ascii="Times New Roman" w:eastAsia="Times New Roman" w:hAnsi="Times New Roman" w:cs="Times New Roman"/>
                <w:bCs/>
              </w:rPr>
              <w:t>Other</w:t>
            </w:r>
          </w:p>
        </w:tc>
        <w:tc>
          <w:tcPr>
            <w:tcW w:w="0" w:type="auto"/>
            <w:tcBorders>
              <w:top w:val="nil"/>
              <w:left w:val="nil"/>
              <w:bottom w:val="single" w:sz="8" w:space="0" w:color="6E9EC2"/>
              <w:right w:val="nil"/>
            </w:tcBorders>
            <w:shd w:val="clear" w:color="auto" w:fill="auto"/>
            <w:noWrap/>
            <w:vAlign w:val="bottom"/>
            <w:hideMark/>
          </w:tcPr>
          <w:p w14:paraId="3EF726AC"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2A937A0D"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76BE138B"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7500BEFE"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c>
          <w:tcPr>
            <w:tcW w:w="0" w:type="auto"/>
            <w:tcBorders>
              <w:top w:val="nil"/>
              <w:left w:val="nil"/>
              <w:bottom w:val="single" w:sz="8" w:space="0" w:color="6E9EC2"/>
              <w:right w:val="nil"/>
            </w:tcBorders>
            <w:shd w:val="clear" w:color="auto" w:fill="auto"/>
            <w:noWrap/>
            <w:vAlign w:val="bottom"/>
            <w:hideMark/>
          </w:tcPr>
          <w:p w14:paraId="38AC0E16" w14:textId="77777777" w:rsidR="006B3192" w:rsidRPr="006B3192" w:rsidRDefault="00FE649F" w:rsidP="006B3192">
            <w:pPr>
              <w:spacing w:line="360" w:lineRule="auto"/>
              <w:rPr>
                <w:rFonts w:ascii="Times New Roman" w:eastAsia="Times New Roman" w:hAnsi="Times New Roman" w:cs="Times New Roman"/>
                <w:bCs/>
                <w:color w:val="567203"/>
              </w:rPr>
            </w:pPr>
            <w:r w:rsidRPr="006B3192">
              <w:rPr>
                <w:rFonts w:ascii="Times New Roman" w:eastAsia="Times New Roman" w:hAnsi="Times New Roman" w:cs="Times New Roman"/>
                <w:bCs/>
                <w:color w:val="567203"/>
              </w:rPr>
              <w:t> </w:t>
            </w:r>
          </w:p>
        </w:tc>
      </w:tr>
      <w:tr w:rsidR="00DA3A1C" w14:paraId="7E10FAB7"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49C4D0C7"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Postage</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1E8A4F2B"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521</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3B0BD52D"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323</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4FFDEDCC"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274</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5B988BC4"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451</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636C42F"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104</w:t>
            </w:r>
          </w:p>
        </w:tc>
      </w:tr>
      <w:tr w:rsidR="00DA3A1C" w14:paraId="41339BD2"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E1EBF2" w:fill="E1EBF2"/>
            <w:vAlign w:val="center"/>
            <w:hideMark/>
          </w:tcPr>
          <w:p w14:paraId="6C6F2ECC"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Travel</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00632CBE"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12,000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7B82666"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13,000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6EA60BCB"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14,000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31F52D2"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12,000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13B927AC"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11,000</w:t>
            </w:r>
          </w:p>
        </w:tc>
      </w:tr>
      <w:tr w:rsidR="00DA3A1C" w14:paraId="48895E8A"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C5D8E7" w:fill="C5D8E7"/>
            <w:vAlign w:val="center"/>
            <w:hideMark/>
          </w:tcPr>
          <w:p w14:paraId="73ED92D0"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Phone</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7C26395C"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61736BBE"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3F93277"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2A11BBED"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100</w:t>
            </w:r>
          </w:p>
        </w:tc>
        <w:tc>
          <w:tcPr>
            <w:tcW w:w="0" w:type="auto"/>
            <w:tcBorders>
              <w:top w:val="single" w:sz="4" w:space="0" w:color="A7C5DA"/>
              <w:left w:val="single" w:sz="4" w:space="0" w:color="A7C5DA"/>
              <w:bottom w:val="single" w:sz="4" w:space="0" w:color="A7C5DA"/>
              <w:right w:val="single" w:sz="4" w:space="0" w:color="A7C5DA"/>
            </w:tcBorders>
            <w:shd w:val="clear" w:color="C5D8E7" w:fill="C5D8E7"/>
            <w:noWrap/>
            <w:vAlign w:val="center"/>
            <w:hideMark/>
          </w:tcPr>
          <w:p w14:paraId="05632B86"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100</w:t>
            </w:r>
          </w:p>
        </w:tc>
      </w:tr>
      <w:tr w:rsidR="00DA3A1C" w14:paraId="7B4C9DBB" w14:textId="77777777" w:rsidTr="006B3192">
        <w:trPr>
          <w:trHeight w:val="320"/>
        </w:trPr>
        <w:tc>
          <w:tcPr>
            <w:tcW w:w="0" w:type="auto"/>
            <w:tcBorders>
              <w:top w:val="single" w:sz="4" w:space="0" w:color="A7C5DA"/>
              <w:left w:val="single" w:sz="4" w:space="0" w:color="A7C5DA"/>
              <w:bottom w:val="single" w:sz="4" w:space="0" w:color="A7C5DA"/>
              <w:right w:val="single" w:sz="4" w:space="0" w:color="A7C5DA"/>
            </w:tcBorders>
            <w:shd w:val="clear" w:color="E1EBF2" w:fill="E1EBF2"/>
            <w:vAlign w:val="center"/>
            <w:hideMark/>
          </w:tcPr>
          <w:p w14:paraId="58FCAA13" w14:textId="77777777" w:rsidR="006B3192" w:rsidRPr="006B3192" w:rsidRDefault="00FE649F" w:rsidP="006B3192">
            <w:pPr>
              <w:spacing w:line="360" w:lineRule="auto"/>
              <w:rPr>
                <w:rFonts w:ascii="Times New Roman" w:eastAsia="Times New Roman" w:hAnsi="Times New Roman" w:cs="Times New Roman"/>
                <w:color w:val="000000"/>
              </w:rPr>
            </w:pPr>
            <w:r w:rsidRPr="006B3192">
              <w:rPr>
                <w:rFonts w:ascii="Times New Roman" w:eastAsia="Times New Roman" w:hAnsi="Times New Roman" w:cs="Times New Roman"/>
                <w:color w:val="000000"/>
              </w:rPr>
              <w:t>Computer/Office Equipment</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701581DA"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200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04237811"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300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5FC1DEFE"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400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2B94A6AB"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500</w:t>
            </w:r>
          </w:p>
        </w:tc>
        <w:tc>
          <w:tcPr>
            <w:tcW w:w="0" w:type="auto"/>
            <w:tcBorders>
              <w:top w:val="single" w:sz="4" w:space="0" w:color="A7C5DA"/>
              <w:left w:val="single" w:sz="4" w:space="0" w:color="A7C5DA"/>
              <w:bottom w:val="single" w:sz="4" w:space="0" w:color="A7C5DA"/>
              <w:right w:val="single" w:sz="4" w:space="0" w:color="A7C5DA"/>
            </w:tcBorders>
            <w:shd w:val="clear" w:color="E1EBF2" w:fill="E1EBF2"/>
            <w:noWrap/>
            <w:vAlign w:val="center"/>
            <w:hideMark/>
          </w:tcPr>
          <w:p w14:paraId="00CAB349" w14:textId="77777777" w:rsidR="006B3192" w:rsidRPr="006B3192" w:rsidRDefault="00FE649F" w:rsidP="006B3192">
            <w:pPr>
              <w:spacing w:line="360" w:lineRule="auto"/>
              <w:jc w:val="right"/>
              <w:rPr>
                <w:rFonts w:ascii="Times New Roman" w:eastAsia="Times New Roman" w:hAnsi="Times New Roman" w:cs="Times New Roman"/>
                <w:color w:val="000000"/>
              </w:rPr>
            </w:pPr>
            <w:r w:rsidRPr="006B3192">
              <w:rPr>
                <w:rFonts w:ascii="Times New Roman" w:eastAsia="Times New Roman" w:hAnsi="Times New Roman" w:cs="Times New Roman"/>
                <w:color w:val="000000"/>
              </w:rPr>
              <w:t>200</w:t>
            </w:r>
          </w:p>
        </w:tc>
      </w:tr>
      <w:tr w:rsidR="00DA3A1C" w14:paraId="6692D86E" w14:textId="77777777" w:rsidTr="006B3192">
        <w:trPr>
          <w:trHeight w:val="320"/>
        </w:trPr>
        <w:tc>
          <w:tcPr>
            <w:tcW w:w="0" w:type="auto"/>
            <w:tcBorders>
              <w:top w:val="single" w:sz="8" w:space="0" w:color="6E9EC2"/>
              <w:left w:val="single" w:sz="4" w:space="0" w:color="A7C5DA"/>
              <w:bottom w:val="single" w:sz="4" w:space="0" w:color="A7C5DA"/>
              <w:right w:val="single" w:sz="4" w:space="0" w:color="A7C5DA"/>
            </w:tcBorders>
            <w:shd w:val="clear" w:color="E1EBF2" w:fill="E1EBF2"/>
            <w:vAlign w:val="center"/>
            <w:hideMark/>
          </w:tcPr>
          <w:p w14:paraId="454C0133" w14:textId="77777777" w:rsidR="006B3192" w:rsidRPr="006B3192" w:rsidRDefault="00FE649F" w:rsidP="006B3192">
            <w:pPr>
              <w:spacing w:line="360" w:lineRule="auto"/>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Other Total</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0FD6E70F" w14:textId="77777777" w:rsidR="006B3192" w:rsidRPr="006B3192" w:rsidRDefault="00FE649F" w:rsidP="006B3192">
            <w:pPr>
              <w:spacing w:line="360" w:lineRule="auto"/>
              <w:jc w:val="right"/>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12,821</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426AE2A5" w14:textId="77777777" w:rsidR="006B3192" w:rsidRPr="006B3192" w:rsidRDefault="00FE649F" w:rsidP="006B3192">
            <w:pPr>
              <w:spacing w:line="360" w:lineRule="auto"/>
              <w:jc w:val="right"/>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13,723</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1985B6A0" w14:textId="77777777" w:rsidR="006B3192" w:rsidRPr="006B3192" w:rsidRDefault="00FE649F" w:rsidP="006B3192">
            <w:pPr>
              <w:spacing w:line="360" w:lineRule="auto"/>
              <w:jc w:val="right"/>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14,774</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39BBD411" w14:textId="77777777" w:rsidR="006B3192" w:rsidRPr="006B3192" w:rsidRDefault="00FE649F" w:rsidP="006B3192">
            <w:pPr>
              <w:spacing w:line="360" w:lineRule="auto"/>
              <w:jc w:val="right"/>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13,051</w:t>
            </w:r>
          </w:p>
        </w:tc>
        <w:tc>
          <w:tcPr>
            <w:tcW w:w="0" w:type="auto"/>
            <w:tcBorders>
              <w:top w:val="single" w:sz="8" w:space="0" w:color="6E9EC2"/>
              <w:left w:val="single" w:sz="4" w:space="0" w:color="A7C5DA"/>
              <w:bottom w:val="single" w:sz="4" w:space="0" w:color="A7C5DA"/>
              <w:right w:val="single" w:sz="4" w:space="0" w:color="A7C5DA"/>
            </w:tcBorders>
            <w:shd w:val="clear" w:color="E1EBF2" w:fill="E1EBF2"/>
            <w:noWrap/>
            <w:vAlign w:val="center"/>
            <w:hideMark/>
          </w:tcPr>
          <w:p w14:paraId="75C37600" w14:textId="77777777" w:rsidR="006B3192" w:rsidRPr="006B3192" w:rsidRDefault="00FE649F" w:rsidP="006B3192">
            <w:pPr>
              <w:spacing w:line="360" w:lineRule="auto"/>
              <w:jc w:val="right"/>
              <w:rPr>
                <w:rFonts w:ascii="Times New Roman" w:eastAsia="Times New Roman" w:hAnsi="Times New Roman" w:cs="Times New Roman"/>
                <w:bCs/>
                <w:color w:val="000000"/>
              </w:rPr>
            </w:pPr>
            <w:r w:rsidRPr="006B3192">
              <w:rPr>
                <w:rFonts w:ascii="Times New Roman" w:eastAsia="Times New Roman" w:hAnsi="Times New Roman" w:cs="Times New Roman"/>
                <w:bCs/>
                <w:color w:val="000000"/>
              </w:rPr>
              <w:t>11,404</w:t>
            </w:r>
          </w:p>
        </w:tc>
      </w:tr>
    </w:tbl>
    <w:p w14:paraId="2349BB9F" w14:textId="77777777" w:rsidR="006B3192" w:rsidRPr="00EE6AC5" w:rsidRDefault="006B3192" w:rsidP="00EE6AC5">
      <w:pPr>
        <w:tabs>
          <w:tab w:val="left" w:pos="855"/>
        </w:tabs>
        <w:spacing w:line="480" w:lineRule="auto"/>
        <w:jc w:val="both"/>
        <w:rPr>
          <w:rFonts w:ascii="Times New Roman" w:hAnsi="Times New Roman" w:cs="Times New Roman"/>
        </w:rPr>
      </w:pPr>
    </w:p>
    <w:p w14:paraId="7C425FCD" w14:textId="0FDB8C83" w:rsidR="00EE6AC5" w:rsidRPr="00B74CC3" w:rsidRDefault="00FE649F" w:rsidP="00EE6AC5">
      <w:pPr>
        <w:tabs>
          <w:tab w:val="left" w:pos="855"/>
        </w:tabs>
        <w:spacing w:line="480" w:lineRule="auto"/>
        <w:jc w:val="both"/>
        <w:rPr>
          <w:rFonts w:ascii="Times New Roman" w:hAnsi="Times New Roman" w:cs="Times New Roman"/>
        </w:rPr>
      </w:pPr>
      <w:r w:rsidRPr="00B74CC3">
        <w:rPr>
          <w:rFonts w:ascii="Times New Roman" w:hAnsi="Times New Roman" w:cs="Times New Roman"/>
        </w:rPr>
        <w:t xml:space="preserve">Long-term assets </w:t>
      </w:r>
    </w:p>
    <w:p w14:paraId="465A2CE6" w14:textId="3D516A17" w:rsidR="005A5BC9" w:rsidRDefault="00FE649F" w:rsidP="00591076">
      <w:pPr>
        <w:tabs>
          <w:tab w:val="left" w:pos="399"/>
        </w:tabs>
        <w:spacing w:line="480" w:lineRule="auto"/>
        <w:jc w:val="both"/>
        <w:rPr>
          <w:rFonts w:ascii="Times New Roman" w:hAnsi="Times New Roman" w:cs="Times New Roman"/>
        </w:rPr>
      </w:pPr>
      <w:r w:rsidRPr="00B74CC3">
        <w:rPr>
          <w:rFonts w:ascii="Times New Roman" w:hAnsi="Times New Roman" w:cs="Times New Roman"/>
        </w:rPr>
        <w:t>The long-term assets of the company rely on cash flow and balance sheet. The</w:t>
      </w:r>
      <w:r w:rsidR="00591076">
        <w:rPr>
          <w:rFonts w:ascii="Times New Roman" w:hAnsi="Times New Roman" w:cs="Times New Roman"/>
        </w:rPr>
        <w:t xml:space="preserve"> financial positioning of MacDonald’s depicts that it is generating adequate cash flow that will support its marketing campaigning. </w:t>
      </w:r>
      <w:r w:rsidR="00183CED">
        <w:rPr>
          <w:rFonts w:ascii="Times New Roman" w:hAnsi="Times New Roman" w:cs="Times New Roman"/>
        </w:rPr>
        <w:t xml:space="preserve">The net income of the company was estimated at $5,924,300 in 2018. The cash flow is determined by operating activities, cash flow used in investing and financing activities. The </w:t>
      </w:r>
      <w:r w:rsidR="009B29E4">
        <w:rPr>
          <w:rFonts w:ascii="Times New Roman" w:hAnsi="Times New Roman" w:cs="Times New Roman"/>
        </w:rPr>
        <w:t>cash</w:t>
      </w:r>
      <w:r w:rsidR="00183CED">
        <w:rPr>
          <w:rFonts w:ascii="Times New Roman" w:hAnsi="Times New Roman" w:cs="Times New Roman"/>
        </w:rPr>
        <w:t xml:space="preserve"> flow will have a </w:t>
      </w:r>
      <w:r w:rsidR="009B29E4">
        <w:rPr>
          <w:rFonts w:ascii="Times New Roman" w:hAnsi="Times New Roman" w:cs="Times New Roman"/>
        </w:rPr>
        <w:t>significant</w:t>
      </w:r>
      <w:r w:rsidR="00183CED">
        <w:rPr>
          <w:rFonts w:ascii="Times New Roman" w:hAnsi="Times New Roman" w:cs="Times New Roman"/>
        </w:rPr>
        <w:t xml:space="preserve"> impact on the marketing activities. </w:t>
      </w:r>
      <w:r w:rsidR="00FD40AA">
        <w:rPr>
          <w:rFonts w:ascii="Times New Roman" w:hAnsi="Times New Roman" w:cs="Times New Roman"/>
        </w:rPr>
        <w:t>The operating, investing and financial cash flow depicts that the company's financial position has improved consistently that will thus ensure the provision of adequate funds for the marketing activities.</w:t>
      </w:r>
    </w:p>
    <w:tbl>
      <w:tblPr>
        <w:tblStyle w:val="TableGrid"/>
        <w:tblW w:w="0" w:type="auto"/>
        <w:tblLook w:val="04A0" w:firstRow="1" w:lastRow="0" w:firstColumn="1" w:lastColumn="0" w:noHBand="0" w:noVBand="1"/>
      </w:tblPr>
      <w:tblGrid>
        <w:gridCol w:w="3708"/>
        <w:gridCol w:w="2196"/>
        <w:gridCol w:w="2952"/>
      </w:tblGrid>
      <w:tr w:rsidR="00DA3A1C" w14:paraId="278B501C" w14:textId="77777777" w:rsidTr="00FD40AA">
        <w:tc>
          <w:tcPr>
            <w:tcW w:w="3708" w:type="dxa"/>
          </w:tcPr>
          <w:p w14:paraId="0147874E" w14:textId="30A26FEA" w:rsidR="00FD40AA" w:rsidRDefault="00FD40AA" w:rsidP="00591076">
            <w:pPr>
              <w:tabs>
                <w:tab w:val="left" w:pos="399"/>
              </w:tabs>
              <w:spacing w:line="480" w:lineRule="auto"/>
              <w:jc w:val="both"/>
              <w:rPr>
                <w:rFonts w:ascii="Times New Roman" w:hAnsi="Times New Roman" w:cs="Times New Roman"/>
              </w:rPr>
            </w:pPr>
          </w:p>
        </w:tc>
        <w:tc>
          <w:tcPr>
            <w:tcW w:w="2196" w:type="dxa"/>
          </w:tcPr>
          <w:p w14:paraId="301E690B" w14:textId="0810EFBD"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2017</w:t>
            </w:r>
          </w:p>
        </w:tc>
        <w:tc>
          <w:tcPr>
            <w:tcW w:w="2952" w:type="dxa"/>
          </w:tcPr>
          <w:p w14:paraId="19B09D32" w14:textId="0CC9C7FB"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2018</w:t>
            </w:r>
          </w:p>
        </w:tc>
      </w:tr>
      <w:tr w:rsidR="00DA3A1C" w14:paraId="5F1831CE" w14:textId="77777777" w:rsidTr="00FD40AA">
        <w:tc>
          <w:tcPr>
            <w:tcW w:w="3708" w:type="dxa"/>
          </w:tcPr>
          <w:p w14:paraId="268D0233" w14:textId="346B7DAC"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 xml:space="preserve">Net operating cash flow </w:t>
            </w:r>
          </w:p>
        </w:tc>
        <w:tc>
          <w:tcPr>
            <w:tcW w:w="2196" w:type="dxa"/>
          </w:tcPr>
          <w:p w14:paraId="0A9A2D51" w14:textId="1AC1104B"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5.55 billion</w:t>
            </w:r>
          </w:p>
        </w:tc>
        <w:tc>
          <w:tcPr>
            <w:tcW w:w="2952" w:type="dxa"/>
          </w:tcPr>
          <w:p w14:paraId="57C942E5" w14:textId="7B9ADACB"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6.97 billion</w:t>
            </w:r>
          </w:p>
        </w:tc>
      </w:tr>
      <w:tr w:rsidR="00DA3A1C" w14:paraId="076A0A8C" w14:textId="77777777" w:rsidTr="00FD40AA">
        <w:tc>
          <w:tcPr>
            <w:tcW w:w="3708" w:type="dxa"/>
          </w:tcPr>
          <w:p w14:paraId="3E3B8F7E" w14:textId="59897B0E"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Net investing cash flow</w:t>
            </w:r>
          </w:p>
        </w:tc>
        <w:tc>
          <w:tcPr>
            <w:tcW w:w="2196" w:type="dxa"/>
          </w:tcPr>
          <w:p w14:paraId="0DFC9E95" w14:textId="0A42A440"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736 million</w:t>
            </w:r>
          </w:p>
        </w:tc>
        <w:tc>
          <w:tcPr>
            <w:tcW w:w="2952" w:type="dxa"/>
          </w:tcPr>
          <w:p w14:paraId="2F5C6A62" w14:textId="39A3EEC3"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2.46 billion</w:t>
            </w:r>
          </w:p>
        </w:tc>
      </w:tr>
      <w:tr w:rsidR="00DA3A1C" w14:paraId="47980486" w14:textId="77777777" w:rsidTr="00FD40AA">
        <w:tc>
          <w:tcPr>
            <w:tcW w:w="3708" w:type="dxa"/>
          </w:tcPr>
          <w:p w14:paraId="0A234147" w14:textId="4C6E0384"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 xml:space="preserve">Net financial cash flow </w:t>
            </w:r>
          </w:p>
        </w:tc>
        <w:tc>
          <w:tcPr>
            <w:tcW w:w="2196" w:type="dxa"/>
          </w:tcPr>
          <w:p w14:paraId="058BFEEA" w14:textId="3389AD2E"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5.31 billion</w:t>
            </w:r>
          </w:p>
        </w:tc>
        <w:tc>
          <w:tcPr>
            <w:tcW w:w="2952" w:type="dxa"/>
          </w:tcPr>
          <w:p w14:paraId="66BEFA5F" w14:textId="43C58977" w:rsidR="00FD40AA" w:rsidRDefault="00FE649F" w:rsidP="00591076">
            <w:pPr>
              <w:tabs>
                <w:tab w:val="left" w:pos="399"/>
              </w:tabs>
              <w:spacing w:line="480" w:lineRule="auto"/>
              <w:jc w:val="both"/>
              <w:rPr>
                <w:rFonts w:ascii="Times New Roman" w:hAnsi="Times New Roman" w:cs="Times New Roman"/>
              </w:rPr>
            </w:pPr>
            <w:r>
              <w:rPr>
                <w:rFonts w:ascii="Times New Roman" w:hAnsi="Times New Roman" w:cs="Times New Roman"/>
              </w:rPr>
              <w:t>5.95 billion</w:t>
            </w:r>
          </w:p>
        </w:tc>
      </w:tr>
    </w:tbl>
    <w:p w14:paraId="4458E023" w14:textId="4E034E40" w:rsidR="00FD40AA" w:rsidRDefault="00FD40AA" w:rsidP="00591076">
      <w:pPr>
        <w:tabs>
          <w:tab w:val="left" w:pos="399"/>
        </w:tabs>
        <w:spacing w:line="480" w:lineRule="auto"/>
        <w:jc w:val="both"/>
        <w:rPr>
          <w:rFonts w:ascii="Times New Roman" w:hAnsi="Times New Roman" w:cs="Times New Roman"/>
        </w:rPr>
      </w:pPr>
    </w:p>
    <w:p w14:paraId="538207FB" w14:textId="77777777" w:rsidR="001F4156" w:rsidRDefault="00FE649F" w:rsidP="001F4156">
      <w:pPr>
        <w:tabs>
          <w:tab w:val="left" w:pos="399"/>
        </w:tabs>
        <w:spacing w:line="480" w:lineRule="auto"/>
        <w:jc w:val="both"/>
        <w:rPr>
          <w:rFonts w:ascii="Times New Roman" w:hAnsi="Times New Roman" w:cs="Times New Roman"/>
        </w:rPr>
      </w:pPr>
      <w:r>
        <w:rPr>
          <w:rFonts w:ascii="Times New Roman" w:hAnsi="Times New Roman" w:cs="Times New Roman"/>
        </w:rPr>
        <w:t xml:space="preserve">The financial budget is also dependent on the revenue stream and profitability of the company. The analysis of the financial statement depicts that </w:t>
      </w:r>
      <w:r w:rsidR="00F400B5">
        <w:rPr>
          <w:rFonts w:ascii="Times New Roman" w:hAnsi="Times New Roman" w:cs="Times New Roman"/>
        </w:rPr>
        <w:t xml:space="preserve">the sales/ revenue of McDonald's increased from 22.82 billion to 21.03 billion. There has been an increase in gross income from 10.62 billion to 10.79 billion. The estimates depict that the financial position of the company has improved. This also reveals </w:t>
      </w:r>
      <w:r w:rsidR="001A5FC1">
        <w:rPr>
          <w:rFonts w:ascii="Times New Roman" w:hAnsi="Times New Roman" w:cs="Times New Roman"/>
        </w:rPr>
        <w:t>the organization</w:t>
      </w:r>
      <w:r w:rsidR="00F400B5">
        <w:rPr>
          <w:rFonts w:ascii="Times New Roman" w:hAnsi="Times New Roman" w:cs="Times New Roman"/>
        </w:rPr>
        <w:t xml:space="preserve"> can use its revenue as a long-term, asset for financing its goal. </w:t>
      </w:r>
      <w:r w:rsidR="00C94B27">
        <w:rPr>
          <w:rFonts w:ascii="Times New Roman" w:hAnsi="Times New Roman" w:cs="Times New Roman"/>
        </w:rPr>
        <w:t>The</w:t>
      </w:r>
      <w:r w:rsidR="00F400B5">
        <w:rPr>
          <w:rFonts w:ascii="Times New Roman" w:hAnsi="Times New Roman" w:cs="Times New Roman"/>
        </w:rPr>
        <w:t xml:space="preserve"> goal of valuing customers can be attained due to continuous financial support. </w:t>
      </w:r>
      <w:r w:rsidR="001A5FC1">
        <w:rPr>
          <w:rFonts w:ascii="Times New Roman" w:hAnsi="Times New Roman" w:cs="Times New Roman"/>
        </w:rPr>
        <w:t xml:space="preserve">The EBIDTA in 2017 was accounted as 9.75 billion indicating that the </w:t>
      </w:r>
      <w:r w:rsidR="000F7EE4">
        <w:rPr>
          <w:rFonts w:ascii="Times New Roman" w:hAnsi="Times New Roman" w:cs="Times New Roman"/>
        </w:rPr>
        <w:t xml:space="preserve">company is capable of </w:t>
      </w:r>
      <w:r w:rsidR="008274D9">
        <w:rPr>
          <w:rFonts w:ascii="Times New Roman" w:hAnsi="Times New Roman" w:cs="Times New Roman"/>
        </w:rPr>
        <w:t xml:space="preserve">financing its activity </w:t>
      </w:r>
      <w:sdt>
        <w:sdtPr>
          <w:rPr>
            <w:rFonts w:ascii="Times New Roman" w:hAnsi="Times New Roman" w:cs="Times New Roman"/>
          </w:rPr>
          <w:id w:val="-245268221"/>
          <w:citation/>
        </w:sdtPr>
        <w:sdtEndPr/>
        <w:sdtContent>
          <w:r w:rsidR="008274D9">
            <w:rPr>
              <w:rFonts w:ascii="Times New Roman" w:hAnsi="Times New Roman" w:cs="Times New Roman"/>
            </w:rPr>
            <w:fldChar w:fldCharType="begin"/>
          </w:r>
          <w:r w:rsidR="008274D9">
            <w:rPr>
              <w:rFonts w:ascii="Times New Roman" w:hAnsi="Times New Roman" w:cs="Times New Roman"/>
            </w:rPr>
            <w:instrText xml:space="preserve"> CITATION NYS19 \l 1033 </w:instrText>
          </w:r>
          <w:r w:rsidR="008274D9">
            <w:rPr>
              <w:rFonts w:ascii="Times New Roman" w:hAnsi="Times New Roman" w:cs="Times New Roman"/>
            </w:rPr>
            <w:fldChar w:fldCharType="separate"/>
          </w:r>
          <w:r w:rsidR="008274D9" w:rsidRPr="008274D9">
            <w:rPr>
              <w:rFonts w:ascii="Times New Roman" w:hAnsi="Times New Roman" w:cs="Times New Roman"/>
              <w:noProof/>
            </w:rPr>
            <w:t>(NYSE, 2019)</w:t>
          </w:r>
          <w:r w:rsidR="008274D9">
            <w:rPr>
              <w:rFonts w:ascii="Times New Roman" w:hAnsi="Times New Roman" w:cs="Times New Roman"/>
            </w:rPr>
            <w:fldChar w:fldCharType="end"/>
          </w:r>
        </w:sdtContent>
      </w:sdt>
      <w:r w:rsidR="008274D9">
        <w:rPr>
          <w:rFonts w:ascii="Times New Roman" w:hAnsi="Times New Roman" w:cs="Times New Roman"/>
        </w:rPr>
        <w:t>.</w:t>
      </w:r>
    </w:p>
    <w:p w14:paraId="630FE7D8" w14:textId="3399BD7E" w:rsidR="008274D9" w:rsidRDefault="00FE649F" w:rsidP="001F4156">
      <w:pPr>
        <w:tabs>
          <w:tab w:val="left" w:pos="399"/>
        </w:tabs>
        <w:spacing w:line="480" w:lineRule="auto"/>
        <w:jc w:val="both"/>
        <w:rPr>
          <w:rFonts w:ascii="Times New Roman" w:hAnsi="Times New Roman" w:cs="Times New Roman"/>
        </w:rPr>
      </w:pPr>
      <w:r>
        <w:rPr>
          <w:rFonts w:ascii="Times New Roman" w:hAnsi="Times New Roman" w:cs="Times New Roman"/>
        </w:rPr>
        <w:t xml:space="preserve">The company will thus rely on existing assets for accomplishing its goal of placing customers experience at the core of everything. </w:t>
      </w:r>
      <w:r w:rsidR="00660DB9">
        <w:rPr>
          <w:rFonts w:ascii="Times New Roman" w:hAnsi="Times New Roman" w:cs="Times New Roman"/>
        </w:rPr>
        <w:t xml:space="preserve">Revenue stream and cash flow are two evident assets that the company will utilize for funding its research and value creation for customers. </w:t>
      </w:r>
      <w:r>
        <w:rPr>
          <w:rFonts w:ascii="Times New Roman" w:hAnsi="Times New Roman" w:cs="Times New Roman"/>
        </w:rPr>
        <w:br w:type="page"/>
      </w:r>
    </w:p>
    <w:p w14:paraId="24492BB1" w14:textId="4359DB4B" w:rsidR="008274D9" w:rsidRDefault="00FE649F" w:rsidP="008274D9">
      <w:pPr>
        <w:tabs>
          <w:tab w:val="left" w:pos="399"/>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519DE13" w14:textId="77777777" w:rsidR="008274D9" w:rsidRDefault="00FE649F" w:rsidP="008274D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NYSE. (2019). </w:t>
          </w:r>
          <w:r>
            <w:rPr>
              <w:i/>
              <w:iCs/>
              <w:noProof/>
            </w:rPr>
            <w:t>McDonald's Corp</w:t>
          </w:r>
          <w:r>
            <w:rPr>
              <w:noProof/>
            </w:rPr>
            <w:t>. Retrieved 03 02, 2019, from https://www.marketwatch.com/investing/stock/mcd/financials</w:t>
          </w:r>
        </w:p>
        <w:p w14:paraId="7C69755C" w14:textId="4C19BD45" w:rsidR="008274D9" w:rsidRDefault="00FE649F" w:rsidP="008274D9">
          <w:pPr>
            <w:pStyle w:val="Bibliography"/>
            <w:spacing w:line="480" w:lineRule="auto"/>
            <w:ind w:left="720" w:hanging="720"/>
            <w:rPr>
              <w:noProof/>
              <w:lang w:val="uz-Cyrl-UZ"/>
            </w:rPr>
          </w:pPr>
          <w:r>
            <w:rPr>
              <w:noProof/>
              <w:lang w:val="uz-Cyrl-UZ"/>
            </w:rPr>
            <w:t xml:space="preserve">Stancil, J. L. (2012). Has the S corporation Outlived Its Usefulness? </w:t>
          </w:r>
          <w:r w:rsidR="00275E4D">
            <w:rPr>
              <w:i/>
              <w:iCs/>
              <w:noProof/>
              <w:lang w:val="uz-Cyrl-UZ"/>
            </w:rPr>
            <w:t>CPA Journal, 82(2)</w:t>
          </w:r>
          <w:r>
            <w:rPr>
              <w:noProof/>
              <w:lang w:val="uz-Cyrl-UZ"/>
            </w:rPr>
            <w:t>, 40-45.</w:t>
          </w:r>
        </w:p>
        <w:p w14:paraId="10D0F6FE" w14:textId="77777777" w:rsidR="008274D9" w:rsidRDefault="00FE649F" w:rsidP="008274D9">
          <w:pPr>
            <w:spacing w:line="480" w:lineRule="auto"/>
            <w:ind w:left="720" w:hanging="720"/>
          </w:pPr>
          <w:r>
            <w:rPr>
              <w:b/>
              <w:bCs/>
              <w:noProof/>
            </w:rPr>
            <w:fldChar w:fldCharType="end"/>
          </w:r>
        </w:p>
      </w:sdtContent>
    </w:sdt>
    <w:p w14:paraId="693EA4F6" w14:textId="77777777" w:rsidR="008274D9" w:rsidRDefault="008274D9" w:rsidP="008274D9">
      <w:pPr>
        <w:tabs>
          <w:tab w:val="left" w:pos="399"/>
        </w:tabs>
        <w:spacing w:line="480" w:lineRule="auto"/>
        <w:ind w:left="720" w:hanging="720"/>
        <w:jc w:val="both"/>
      </w:pPr>
    </w:p>
    <w:p w14:paraId="361F0FF1" w14:textId="77777777" w:rsidR="008274D9" w:rsidRPr="00B74CC3" w:rsidRDefault="008274D9" w:rsidP="008274D9">
      <w:pPr>
        <w:tabs>
          <w:tab w:val="left" w:pos="399"/>
        </w:tabs>
        <w:spacing w:line="480" w:lineRule="auto"/>
        <w:ind w:left="720" w:hanging="720"/>
        <w:jc w:val="both"/>
        <w:rPr>
          <w:rFonts w:ascii="Times New Roman" w:hAnsi="Times New Roman" w:cs="Times New Roman"/>
        </w:rPr>
      </w:pPr>
    </w:p>
    <w:sectPr w:rsidR="008274D9" w:rsidRPr="00B74CC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D80F" w14:textId="77777777" w:rsidR="00412C80" w:rsidRDefault="00FE649F">
      <w:r>
        <w:separator/>
      </w:r>
    </w:p>
  </w:endnote>
  <w:endnote w:type="continuationSeparator" w:id="0">
    <w:p w14:paraId="4844B575" w14:textId="77777777" w:rsidR="00412C80" w:rsidRDefault="00FE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24DDC" w14:textId="77777777" w:rsidR="00412C80" w:rsidRDefault="00FE649F">
      <w:r>
        <w:separator/>
      </w:r>
    </w:p>
  </w:footnote>
  <w:footnote w:type="continuationSeparator" w:id="0">
    <w:p w14:paraId="50A2AF96" w14:textId="77777777" w:rsidR="00412C80" w:rsidRDefault="00FE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5634" w14:textId="77777777" w:rsidR="00F400B5" w:rsidRDefault="00FE649F" w:rsidP="00E20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3D027" w14:textId="77777777" w:rsidR="00F400B5" w:rsidRDefault="00F400B5" w:rsidP="005A5B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0BCF" w14:textId="77777777" w:rsidR="00F400B5" w:rsidRDefault="00FE649F" w:rsidP="00E20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7FA">
      <w:rPr>
        <w:rStyle w:val="PageNumber"/>
        <w:noProof/>
      </w:rPr>
      <w:t>3</w:t>
    </w:r>
    <w:r>
      <w:rPr>
        <w:rStyle w:val="PageNumber"/>
      </w:rPr>
      <w:fldChar w:fldCharType="end"/>
    </w:r>
  </w:p>
  <w:p w14:paraId="02A60EF8" w14:textId="77777777" w:rsidR="00F400B5" w:rsidRDefault="00FE649F" w:rsidP="005A5BC9">
    <w:pPr>
      <w:pStyle w:val="Header"/>
      <w:ind w:right="360"/>
    </w:pPr>
    <w:r>
      <w:t>RUNNING HEAD: BUDGET ESTIMATES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C9"/>
    <w:rsid w:val="0001425C"/>
    <w:rsid w:val="000F7EE4"/>
    <w:rsid w:val="0016456E"/>
    <w:rsid w:val="00183CED"/>
    <w:rsid w:val="00183E59"/>
    <w:rsid w:val="001A5FC1"/>
    <w:rsid w:val="001C29C6"/>
    <w:rsid w:val="001F4156"/>
    <w:rsid w:val="00275E4D"/>
    <w:rsid w:val="00412C80"/>
    <w:rsid w:val="004527FA"/>
    <w:rsid w:val="004C30C7"/>
    <w:rsid w:val="004C7675"/>
    <w:rsid w:val="004F3E88"/>
    <w:rsid w:val="00591076"/>
    <w:rsid w:val="005A53E6"/>
    <w:rsid w:val="005A5BC9"/>
    <w:rsid w:val="005E0014"/>
    <w:rsid w:val="006234FC"/>
    <w:rsid w:val="00660DB9"/>
    <w:rsid w:val="006B3192"/>
    <w:rsid w:val="007107D2"/>
    <w:rsid w:val="008274D9"/>
    <w:rsid w:val="0088634C"/>
    <w:rsid w:val="009127DB"/>
    <w:rsid w:val="009B29E4"/>
    <w:rsid w:val="00B74CC3"/>
    <w:rsid w:val="00C934BF"/>
    <w:rsid w:val="00C94B27"/>
    <w:rsid w:val="00CF1CFB"/>
    <w:rsid w:val="00DA3A1C"/>
    <w:rsid w:val="00E07EB1"/>
    <w:rsid w:val="00E2027D"/>
    <w:rsid w:val="00E45E5E"/>
    <w:rsid w:val="00E52A92"/>
    <w:rsid w:val="00EE6AC5"/>
    <w:rsid w:val="00F400B5"/>
    <w:rsid w:val="00FC5220"/>
    <w:rsid w:val="00FD40AA"/>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C9"/>
    <w:pPr>
      <w:tabs>
        <w:tab w:val="center" w:pos="4320"/>
        <w:tab w:val="right" w:pos="8640"/>
      </w:tabs>
    </w:pPr>
  </w:style>
  <w:style w:type="character" w:customStyle="1" w:styleId="HeaderChar">
    <w:name w:val="Header Char"/>
    <w:basedOn w:val="DefaultParagraphFont"/>
    <w:link w:val="Header"/>
    <w:uiPriority w:val="99"/>
    <w:rsid w:val="005A5BC9"/>
  </w:style>
  <w:style w:type="character" w:styleId="PageNumber">
    <w:name w:val="page number"/>
    <w:basedOn w:val="DefaultParagraphFont"/>
    <w:uiPriority w:val="99"/>
    <w:semiHidden/>
    <w:unhideWhenUsed/>
    <w:rsid w:val="005A5BC9"/>
  </w:style>
  <w:style w:type="paragraph" w:styleId="Footer">
    <w:name w:val="footer"/>
    <w:basedOn w:val="Normal"/>
    <w:link w:val="FooterChar"/>
    <w:uiPriority w:val="99"/>
    <w:unhideWhenUsed/>
    <w:rsid w:val="00FC5220"/>
    <w:pPr>
      <w:tabs>
        <w:tab w:val="center" w:pos="4320"/>
        <w:tab w:val="right" w:pos="8640"/>
      </w:tabs>
    </w:pPr>
  </w:style>
  <w:style w:type="character" w:customStyle="1" w:styleId="FooterChar">
    <w:name w:val="Footer Char"/>
    <w:basedOn w:val="DefaultParagraphFont"/>
    <w:link w:val="Footer"/>
    <w:uiPriority w:val="99"/>
    <w:rsid w:val="00FC5220"/>
  </w:style>
  <w:style w:type="paragraph" w:styleId="BalloonText">
    <w:name w:val="Balloon Text"/>
    <w:basedOn w:val="Normal"/>
    <w:link w:val="BalloonTextChar"/>
    <w:uiPriority w:val="99"/>
    <w:semiHidden/>
    <w:unhideWhenUsed/>
    <w:rsid w:val="0018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CED"/>
    <w:rPr>
      <w:rFonts w:ascii="Lucida Grande" w:hAnsi="Lucida Grande" w:cs="Lucida Grande"/>
      <w:sz w:val="18"/>
      <w:szCs w:val="18"/>
    </w:rPr>
  </w:style>
  <w:style w:type="table" w:styleId="TableGrid">
    <w:name w:val="Table Grid"/>
    <w:basedOn w:val="TableNormal"/>
    <w:uiPriority w:val="59"/>
    <w:rsid w:val="00FD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74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7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C9"/>
    <w:pPr>
      <w:tabs>
        <w:tab w:val="center" w:pos="4320"/>
        <w:tab w:val="right" w:pos="8640"/>
      </w:tabs>
    </w:pPr>
  </w:style>
  <w:style w:type="character" w:customStyle="1" w:styleId="HeaderChar">
    <w:name w:val="Header Char"/>
    <w:basedOn w:val="DefaultParagraphFont"/>
    <w:link w:val="Header"/>
    <w:uiPriority w:val="99"/>
    <w:rsid w:val="005A5BC9"/>
  </w:style>
  <w:style w:type="character" w:styleId="PageNumber">
    <w:name w:val="page number"/>
    <w:basedOn w:val="DefaultParagraphFont"/>
    <w:uiPriority w:val="99"/>
    <w:semiHidden/>
    <w:unhideWhenUsed/>
    <w:rsid w:val="005A5BC9"/>
  </w:style>
  <w:style w:type="paragraph" w:styleId="Footer">
    <w:name w:val="footer"/>
    <w:basedOn w:val="Normal"/>
    <w:link w:val="FooterChar"/>
    <w:uiPriority w:val="99"/>
    <w:unhideWhenUsed/>
    <w:rsid w:val="00FC5220"/>
    <w:pPr>
      <w:tabs>
        <w:tab w:val="center" w:pos="4320"/>
        <w:tab w:val="right" w:pos="8640"/>
      </w:tabs>
    </w:pPr>
  </w:style>
  <w:style w:type="character" w:customStyle="1" w:styleId="FooterChar">
    <w:name w:val="Footer Char"/>
    <w:basedOn w:val="DefaultParagraphFont"/>
    <w:link w:val="Footer"/>
    <w:uiPriority w:val="99"/>
    <w:rsid w:val="00FC5220"/>
  </w:style>
  <w:style w:type="paragraph" w:styleId="BalloonText">
    <w:name w:val="Balloon Text"/>
    <w:basedOn w:val="Normal"/>
    <w:link w:val="BalloonTextChar"/>
    <w:uiPriority w:val="99"/>
    <w:semiHidden/>
    <w:unhideWhenUsed/>
    <w:rsid w:val="0018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CED"/>
    <w:rPr>
      <w:rFonts w:ascii="Lucida Grande" w:hAnsi="Lucida Grande" w:cs="Lucida Grande"/>
      <w:sz w:val="18"/>
      <w:szCs w:val="18"/>
    </w:rPr>
  </w:style>
  <w:style w:type="table" w:styleId="TableGrid">
    <w:name w:val="Table Grid"/>
    <w:basedOn w:val="TableNormal"/>
    <w:uiPriority w:val="59"/>
    <w:rsid w:val="00FD4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74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JLS12</b:Tag>
    <b:SourceType>JournalArticle</b:SourceType>
    <b:Guid>{BE271813-7325-4BD1-B0ED-04A6C6FE5B66}</b:Guid>
    <b:LCID>uz-Cyrl-UZ</b:LCID>
    <b:Author>
      <b:Author>
        <b:NameList>
          <b:Person>
            <b:Last>Stancil</b:Last>
            <b:First>J</b:First>
            <b:Middle>L</b:Middle>
          </b:Person>
        </b:NameList>
      </b:Author>
    </b:Author>
    <b:Title>Has the S CorporaTon Outlived Its UseFulness?</b:Title>
    <b:JournalName> CPA Journal, 82(2), </b:JournalName>
    <b:Year>2012</b:Year>
    <b:Pages>40-45</b:Pages>
    <b:RefOrder>2</b:RefOrder>
  </b:Source>
  <b:Source>
    <b:Tag>NYS19</b:Tag>
    <b:SourceType>InternetSite</b:SourceType>
    <b:Guid>{A6D201DE-A9C4-4844-AE63-9C49843692C8}</b:Guid>
    <b:Title>McDonald's Corp</b:Title>
    <b:Year>2019</b:Year>
    <b:Author>
      <b:Author>
        <b:Corporate>NYSE</b:Corporate>
      </b:Author>
    </b:Author>
    <b:URL>https://www.marketwatch.com/investing/stock/mcd/financials</b:URL>
    <b:YearAccessed>2019</b:YearAccessed>
    <b:MonthAccessed>03</b:MonthAccessed>
    <b:DayAccessed>02</b:DayAccessed>
    <b:RefOrder>1</b:RefOrder>
  </b:Source>
</b:Sources>
</file>

<file path=customXml/itemProps1.xml><?xml version="1.0" encoding="utf-8"?>
<ds:datastoreItem xmlns:ds="http://schemas.openxmlformats.org/officeDocument/2006/customXml" ds:itemID="{B84C22B4-5269-754A-B74D-AAD4B442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641</Words>
  <Characters>3660</Characters>
  <Application>Microsoft Macintosh Word</Application>
  <DocSecurity>0</DocSecurity>
  <Lines>30</Lines>
  <Paragraphs>8</Paragraphs>
  <ScaleCrop>false</ScaleCrop>
  <Company>art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2019-03-02T17:58:00Z</dcterms:created>
  <dcterms:modified xsi:type="dcterms:W3CDTF">2019-03-02T18:07:00Z</dcterms:modified>
</cp:coreProperties>
</file>